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1F3A5F"/>
          <w:sz w:val="20"/>
        </w:rPr>
        <w:t>REPORT</w:t>
      </w:r>
    </w:p>
    <w:p>
      <w:pPr>
        <w:pStyle w:val="Title"/>
      </w:pPr>
      <w:r>
        <w:t>Anbud till Uppsala kommun för lokalvård av tre förskolor enligt LOU</w:t>
      </w:r>
    </w:p>
    <w:p>
      <w:pPr>
        <w:ind w:right="6803"/>
        <w:pBdr>
          <w:bottom w:val="single" w:sz="18" w:space="1" w:color="1F3A5F"/>
        </w:pBdr>
      </w:pPr>
    </w:p>
    <w:p>
      <w:r>
        <w:rPr>
          <w:color w:val="6B7280"/>
          <w:sz w:val="22"/>
        </w:rPr>
        <w:t>October 2026</w:t>
      </w:r>
    </w:p>
    <w:p>
      <w:r>
        <w:br w:type="page"/>
      </w:r>
    </w:p>
    <w:p>
      <w:pPr>
        <w:pStyle w:val="Heading2"/>
      </w:pPr>
      <w:r>
        <w:t>Följebrev med anbudsoffer</w:t>
      </w:r>
    </w:p>
    <w:p>
      <w:r>
        <w:t>Nordljus Städ AB lämnar härmed detta anbud avseende upphandling av lokalvårdstjänster för tre förskolor inom Uppsala kommun. Vi bekräftar att vi har tagit del av samtliga upphandlingsdokument och ställer oss bakom de krav som specificerats i underlaget.</w:t>
      </w:r>
    </w:p>
    <w:p>
      <w:r>
        <w:t>För frågor kring detta anbud eller kompletteringar ber vi er kontakta vår anbudsansvarige. Vår organisation är väl förberedd att påbörja uppdraget enligt överenskommen tidsplan och vi ser fram emot ett potentiellt samarbete med Uppsala kommun.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Kontaktperson för anbudet.</w:t>
            </w:r>
            <w:r>
              <w:t xml:space="preserve"> </w:t>
            </w:r>
            <w:r>
              <w:t>Namn: Anna Svensson</w:t>
              <w:br/>
              <w:t>Titel: Anbudsansvarig</w:t>
              <w:br/>
              <w:t>E-post: anna.svensson@nordljusstad.se</w:t>
              <w:br/>
              <w:t>Telefon: 018-XX XX XX</w:t>
              <w:br/>
              <w:t>Notera att kontaktuppgifterna är indicativa för mallen. Bekräfta aktuell kontaktperson internt innan inlämning.</w:t>
            </w:r>
          </w:p>
        </w:tc>
      </w:tr>
    </w:tbl>
    <w:p>
      <w:pPr>
        <w:spacing w:after="40"/>
      </w:pPr>
    </w:p>
    <w:p>
      <w:pPr>
        <w:pStyle w:val="Heading2"/>
      </w:pPr>
      <w:r>
        <w:t>Företagspresentation och erfarenhetsöversikt</w:t>
      </w:r>
    </w:p>
    <w:p>
      <w:r>
        <w:t>Nordljus Städ AB är ett etablerat städföretag med fokus på hållbar och säker lokalvård inom den offentliga sektorn. Vi har sedan starten specialiserat oss på vård- och omsorgsmiljöer, inklusive förskolor, där hygienkraven är höga och barnens säkerhet prioriteras.</w:t>
      </w:r>
    </w:p>
    <w:p>
      <w:r>
        <w:t>Vår verksamhet är rotad i Uppsala län, vilket möjliggör snabba utryckningar och lokal närvaro. Vi innehar certifiering enligt ISO 9001 för kvalitetssäkring och ISO 14001 för miljöledning.</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Certifieringar och kompetens.</w:t>
            </w:r>
            <w:r>
              <w:t xml:space="preserve"> </w:t>
            </w:r>
            <w:r>
              <w:t>All personal genomgår regelbundna utbildningar i kemikaliehantering och barnsäkerhet. Vi har tidigare utfört uppdrag för flera kommuner i regionen med hög servicegrad.</w:t>
            </w:r>
          </w:p>
        </w:tc>
      </w:tr>
    </w:tbl>
    <w:p>
      <w:pPr>
        <w:spacing w:after="40"/>
      </w:pP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8+</w:t>
            </w:r>
          </w:p>
          <w:p>
            <w:r>
              <w:rPr>
                <w:b/>
                <w:sz w:val="19"/>
              </w:rPr>
              <w:t>År i branschen</w:t>
            </w:r>
          </w:p>
          <w:p>
            <w:r>
              <w:rPr>
                <w:color w:val="6B7280"/>
                <w:sz w:val="17"/>
              </w:rPr>
              <w:t>Erfarenhet av offentlig sektor</w:t>
            </w:r>
          </w:p>
        </w:tc>
        <w:tc>
          <w:tcPr>
            <w:tcW w:type="dxa" w:w="3249"/>
            <w:shd w:val="clear" w:color="auto" w:fill="EFF1F3"/>
            <w:tcBorders>
              <w:top w:val="single" w:sz="18" w:color="1F3A5F"/>
              <w:left w:val="nil"/>
              <w:bottom w:val="nil"/>
              <w:right w:val="nil"/>
            </w:tcBorders>
          </w:tcPr>
          <w:p>
            <w:pPr>
              <w:spacing w:after="0"/>
            </w:pPr>
            <w:r>
              <w:rPr>
                <w:b/>
                <w:color w:val="1F3A5F"/>
                <w:sz w:val="36"/>
              </w:rPr>
              <w:t>45</w:t>
            </w:r>
          </w:p>
          <w:p>
            <w:r>
              <w:rPr>
                <w:b/>
                <w:sz w:val="19"/>
              </w:rPr>
              <w:t>Medarbetare</w:t>
            </w:r>
          </w:p>
          <w:p>
            <w:r>
              <w:rPr>
                <w:color w:val="6B7280"/>
                <w:sz w:val="17"/>
              </w:rPr>
              <w:t>Heltids- och deltidsanställda</w:t>
            </w:r>
          </w:p>
        </w:tc>
        <w:tc>
          <w:tcPr>
            <w:tcW w:type="dxa" w:w="3249"/>
            <w:shd w:val="clear" w:color="auto" w:fill="EFF1F3"/>
            <w:tcBorders>
              <w:top w:val="single" w:sz="18" w:color="1F3A5F"/>
              <w:left w:val="nil"/>
              <w:bottom w:val="nil"/>
              <w:right w:val="nil"/>
            </w:tcBorders>
          </w:tcPr>
          <w:p>
            <w:pPr>
              <w:spacing w:after="0"/>
            </w:pPr>
            <w:r>
              <w:rPr>
                <w:b/>
                <w:color w:val="1F3A5F"/>
                <w:sz w:val="36"/>
              </w:rPr>
              <w:t>96%</w:t>
            </w:r>
          </w:p>
          <w:p>
            <w:r>
              <w:rPr>
                <w:b/>
                <w:sz w:val="19"/>
              </w:rPr>
              <w:t>Kundnöjdhet</w:t>
            </w:r>
          </w:p>
          <w:p>
            <w:r>
              <w:rPr>
                <w:color w:val="6B7280"/>
                <w:sz w:val="17"/>
              </w:rPr>
              <w:t>Baserat på senaste års enkäter</w:t>
            </w:r>
          </w:p>
        </w:tc>
      </w:tr>
    </w:tbl>
    <w:p>
      <w:pPr>
        <w:spacing w:after="40"/>
      </w:pPr>
    </w:p>
    <w:p>
      <w:pPr>
        <w:pStyle w:val="Heading2"/>
      </w:pPr>
      <w:r>
        <w:t>Uppfyllelse av skall-krav enligt upphandlingsdokument</w:t>
      </w:r>
    </w:p>
    <w:p>
      <w:r>
        <w:t>Nordljus Städ AB intygar härmed att vi uppfyller samtliga skall-krav som specificerats i upphandlingsunderlaget för lokalvårdstjänster avseende de tre angivna förskolorna i Uppsala kommun. Vårt anbud är utformat i strikt enlighet med lagen om offentlig upphandling (LOU) och de specifika föreskrifterna för denna upphandling. Vi bekräftar att inga uteslutningsgrunder föreligger och att vi har den ekonomiska och tekniska kapacitet som krävs för att utföra uppdraget.</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229"/>
        <w:gridCol w:w="4244"/>
        <w:gridCol w:w="1938"/>
      </w:tblGrid>
      <w:tr>
        <w:trPr>
          <w:tblHeader w:val="true"/>
          <w:cantSplit/>
        </w:trPr>
        <w:tc>
          <w:tcPr>
            <w:tcW w:type="dxa" w:w="3229"/>
            <w:shd w:val="clear" w:color="auto" w:fill="DFE3E8"/>
          </w:tcPr>
          <w:p>
            <w:pPr>
              <w:spacing w:after="0" w:line="276" w:lineRule="auto"/>
            </w:pPr>
            <w:r>
              <w:rPr>
                <w:b/>
              </w:rPr>
              <w:t>Skall-krav</w:t>
            </w:r>
          </w:p>
        </w:tc>
        <w:tc>
          <w:tcPr>
            <w:tcW w:type="dxa" w:w="4244"/>
            <w:shd w:val="clear" w:color="auto" w:fill="DFE3E8"/>
          </w:tcPr>
          <w:p>
            <w:pPr>
              <w:spacing w:after="0" w:line="276" w:lineRule="auto"/>
            </w:pPr>
            <w:r>
              <w:rPr>
                <w:b/>
              </w:rPr>
              <w:t>Uppfyllnad</w:t>
            </w:r>
          </w:p>
        </w:tc>
        <w:tc>
          <w:tcPr>
            <w:tcW w:type="dxa" w:w="1938"/>
            <w:shd w:val="clear" w:color="auto" w:fill="DFE3E8"/>
          </w:tcPr>
          <w:p>
            <w:pPr>
              <w:spacing w:after="0" w:line="276" w:lineRule="auto"/>
            </w:pPr>
            <w:r>
              <w:rPr>
                <w:b/>
              </w:rPr>
              <w:t>Referens/Bilaga</w:t>
            </w:r>
          </w:p>
        </w:tc>
      </w:tr>
      <w:tr>
        <w:tc>
          <w:tcPr>
            <w:tcW w:type="dxa" w:w="3229"/>
          </w:tcPr>
          <w:p>
            <w:pPr>
              <w:spacing w:after="0" w:line="276" w:lineRule="auto"/>
            </w:pPr>
            <w:r>
              <w:t>Giltigt skattekontoutdrag</w:t>
            </w:r>
          </w:p>
        </w:tc>
        <w:tc>
          <w:tcPr>
            <w:tcW w:type="dxa" w:w="4244"/>
          </w:tcPr>
          <w:p>
            <w:pPr>
              <w:spacing w:after="0" w:line="276" w:lineRule="auto"/>
            </w:pPr>
            <w:r>
              <w:t>Bifogat, daterat inom giltig period</w:t>
            </w:r>
          </w:p>
        </w:tc>
        <w:tc>
          <w:tcPr>
            <w:tcW w:type="dxa" w:w="1938"/>
          </w:tcPr>
          <w:p>
            <w:pPr>
              <w:spacing w:after="0" w:line="276" w:lineRule="auto"/>
            </w:pPr>
            <w:r>
              <w:t>Bilaga A</w:t>
            </w:r>
          </w:p>
        </w:tc>
      </w:tr>
      <w:tr>
        <w:tc>
          <w:tcPr>
            <w:tcW w:type="dxa" w:w="3229"/>
          </w:tcPr>
          <w:p>
            <w:pPr>
              <w:spacing w:after="0" w:line="276" w:lineRule="auto"/>
            </w:pPr>
            <w:r>
              <w:t>Försäkringsskydd (Ansvar &amp; Egendom)</w:t>
            </w:r>
          </w:p>
        </w:tc>
        <w:tc>
          <w:tcPr>
            <w:tcW w:type="dxa" w:w="4244"/>
          </w:tcPr>
          <w:p>
            <w:pPr>
              <w:spacing w:after="0" w:line="276" w:lineRule="auto"/>
            </w:pPr>
            <w:r>
              <w:t>Tecknat hos ledande försäkringsbolag, täcker verksamheten</w:t>
            </w:r>
          </w:p>
        </w:tc>
        <w:tc>
          <w:tcPr>
            <w:tcW w:type="dxa" w:w="1938"/>
          </w:tcPr>
          <w:p>
            <w:pPr>
              <w:spacing w:after="0" w:line="276" w:lineRule="auto"/>
            </w:pPr>
            <w:r>
              <w:t>Bilaga B</w:t>
            </w:r>
          </w:p>
        </w:tc>
      </w:tr>
      <w:tr>
        <w:tc>
          <w:tcPr>
            <w:tcW w:type="dxa" w:w="3229"/>
          </w:tcPr>
          <w:p>
            <w:pPr>
              <w:spacing w:after="0" w:line="276" w:lineRule="auto"/>
            </w:pPr>
            <w:r>
              <w:t>Erfarenhet av förskolestädning</w:t>
            </w:r>
          </w:p>
        </w:tc>
        <w:tc>
          <w:tcPr>
            <w:tcW w:type="dxa" w:w="4244"/>
          </w:tcPr>
          <w:p>
            <w:pPr>
              <w:spacing w:after="0" w:line="276" w:lineRule="auto"/>
            </w:pPr>
            <w:r>
              <w:t>Referenser från tre liknande objekt i Uppsala län bifogade</w:t>
            </w:r>
          </w:p>
        </w:tc>
        <w:tc>
          <w:tcPr>
            <w:tcW w:type="dxa" w:w="1938"/>
          </w:tcPr>
          <w:p>
            <w:pPr>
              <w:spacing w:after="0" w:line="276" w:lineRule="auto"/>
            </w:pPr>
            <w:r>
              <w:t>Bilaga C</w:t>
            </w:r>
          </w:p>
        </w:tc>
      </w:tr>
      <w:tr>
        <w:tc>
          <w:tcPr>
            <w:tcW w:type="dxa" w:w="3229"/>
          </w:tcPr>
          <w:p>
            <w:pPr>
              <w:spacing w:after="0" w:line="276" w:lineRule="auto"/>
            </w:pPr>
            <w:r>
              <w:t>Miljömärkta städprodukter</w:t>
            </w:r>
          </w:p>
        </w:tc>
        <w:tc>
          <w:tcPr>
            <w:tcW w:type="dxa" w:w="4244"/>
          </w:tcPr>
          <w:p>
            <w:pPr>
              <w:spacing w:after="0" w:line="276" w:lineRule="auto"/>
            </w:pPr>
            <w:r>
              <w:t>Endast Svanenmärkta eller motsvarande produkter används</w:t>
            </w:r>
          </w:p>
        </w:tc>
        <w:tc>
          <w:tcPr>
            <w:tcW w:type="dxa" w:w="1938"/>
          </w:tcPr>
          <w:p>
            <w:pPr>
              <w:spacing w:after="0" w:line="276" w:lineRule="auto"/>
            </w:pPr>
            <w:r>
              <w:t>Produktlista Bilaga D</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Certifieringar och kvalitetsgarantier.</w:t>
            </w:r>
            <w:r>
              <w:t xml:space="preserve"> </w:t>
            </w:r>
            <w:r>
              <w:t>Vi innehar certifiering enligt ISO 9001 för kvalitetsledning och ISO 14001 för miljöledning. Dessa certifikat är aktuella och giltiga under hela avtalsperioden. Kopior på certifikaten finns samlade i Bilaga E. Vår personal genomgår löpande utbildning i barnsäkerhet och hygienrutiner specifikt anpassade för förskolemiljöer.</w:t>
            </w:r>
          </w:p>
        </w:tc>
      </w:tr>
    </w:tbl>
    <w:p>
      <w:pPr>
        <w:spacing w:after="40"/>
      </w:pPr>
    </w:p>
    <w:p>
      <w:r>
        <w:t>Gällande kravet på registerutdrag från belastningsregistret för all personal som kommer att arbeta i förskolorna garanterar Nordljus Städ AB att samtliga medarbetare har ett godkänt registerutdrag innan de påbörjar arbete hos kund. Rutinen för kontroll av registerutdrag är dokumenterad i vår interna personalförvaltning och kan verifieras vid begäran. Vi säkerställer även att all personal har erforderliga arbetstillstånd om sådant krävs enligt svensk lagstiftning.</w:t>
      </w:r>
    </w:p>
    <w:p>
      <w:r>
        <w:t>Vår ekonomiska ställning är stabil, vilket styrks av de senaste tre årens reviderade årsredovisningar (Bilaga F). Vi har inga anmärkningar från Kronofogdemyndigheten och är inte i konkurs eller under likvidation. Alla skatter och sociala avgifter betalas i tid, vilket verifieras av det bifogade skattekontoutdraget. Vi bedömer att vi har den finansiella bärkraften att hantera eventuella fluktuationer i uppdragsvolymen under avtalsperioden.</w:t>
      </w:r>
    </w:p>
    <w:p>
      <w:pPr>
        <w:pStyle w:val="Heading2"/>
      </w:pPr>
      <w:r>
        <w:t>Arbetsmetod för lokalvård i förskolemiljö</w:t>
      </w:r>
    </w:p>
    <w:p>
      <w:r>
        <w:t>Nordljus Städ AB tillämpar en skonsam och effektiv arbetsmetod anpassad för förskolemiljöer. Vår prioritet är att skapa en ren och hälsosam miljö för både personal och barn, samtidigt som vi respekterar förskolans pedagogiska arbete.</w:t>
      </w:r>
    </w:p>
    <w:p>
      <w:pPr>
        <w:pStyle w:val="Heading3"/>
      </w:pPr>
      <w:r>
        <w:t>Daglig städning och hygienrutiner</w:t>
      </w:r>
    </w:p>
    <w:p>
      <w:r>
        <w:t>Den dagliga städningen fokuserar på högberöringsytor såsom dörrhandtag, bänkar och leksaker. Vi använder fuktig torkteknik för att undvika dammspridning. Toaletter och tvättställ rengörs och desinficeras dagligen enligt gällande hygienkrav. Golvtorkning sker med mikrofibermoppar indelade i färgkodade zoner för att förhindra korskontaminering mellan kök, lekytor och sanitära utrymmen.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Säkerhet och barnvänlighet.</w:t>
            </w:r>
            <w:r>
              <w:t xml:space="preserve"> </w:t>
            </w:r>
            <w:r>
              <w:t>Alla kemikalier förvaras låsta och utom räckhåll för barn. Personalen bär alltid identifierbara arbetskläder och ID-kort. Städuppdrag anpassas efter förskolans schema för att undvika riskmoment under aktiv lek eller måltider.</w:t>
            </w:r>
          </w:p>
        </w:tc>
      </w:tr>
    </w:tbl>
    <w:p>
      <w:pPr>
        <w:spacing w:after="40"/>
      </w:pPr>
    </w:p>
    <w:p>
      <w:pPr>
        <w:pStyle w:val="Heading3"/>
      </w:pPr>
      <w:r>
        <w:t>Periodisk djuprengöring</w:t>
      </w:r>
    </w:p>
    <w:p>
      <w:r>
        <w:t>Utöver den dagliga servicen genomförs djuprengöring av fönster, ventiler och höga ytor kvartalsvis. Mattor dammsugs och behandlas vid behov. Vi samordnar dessa insatser med förskolechefen för att säkerställa att de sker under lov eller helger när det är möjligt.</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745"/>
        <w:gridCol w:w="5228"/>
        <w:gridCol w:w="1438"/>
      </w:tblGrid>
      <w:tr>
        <w:trPr>
          <w:tblHeader w:val="true"/>
          <w:cantSplit/>
        </w:trPr>
        <w:tc>
          <w:tcPr>
            <w:tcW w:type="dxa" w:w="2745"/>
            <w:shd w:val="clear" w:color="auto" w:fill="DFE3E8"/>
          </w:tcPr>
          <w:p>
            <w:pPr>
              <w:spacing w:after="0" w:line="276" w:lineRule="auto"/>
            </w:pPr>
            <w:r>
              <w:rPr>
                <w:b/>
              </w:rPr>
              <w:t>Område</w:t>
            </w:r>
          </w:p>
        </w:tc>
        <w:tc>
          <w:tcPr>
            <w:tcW w:type="dxa" w:w="5228"/>
            <w:shd w:val="clear" w:color="auto" w:fill="DFE3E8"/>
          </w:tcPr>
          <w:p>
            <w:pPr>
              <w:spacing w:after="0" w:line="276" w:lineRule="auto"/>
            </w:pPr>
            <w:r>
              <w:rPr>
                <w:b/>
              </w:rPr>
              <w:t>Åtgärd</w:t>
            </w:r>
          </w:p>
        </w:tc>
        <w:tc>
          <w:tcPr>
            <w:tcW w:type="dxa" w:w="1438"/>
            <w:shd w:val="clear" w:color="auto" w:fill="DFE3E8"/>
          </w:tcPr>
          <w:p>
            <w:pPr>
              <w:spacing w:after="0" w:line="276" w:lineRule="auto"/>
            </w:pPr>
            <w:r>
              <w:rPr>
                <w:b/>
              </w:rPr>
              <w:t>Frekvens</w:t>
            </w:r>
          </w:p>
        </w:tc>
      </w:tr>
      <w:tr>
        <w:tc>
          <w:tcPr>
            <w:tcW w:type="dxa" w:w="2745"/>
          </w:tcPr>
          <w:p>
            <w:pPr>
              <w:spacing w:after="0" w:line="276" w:lineRule="auto"/>
            </w:pPr>
            <w:r>
              <w:t>Lekrum och korridorer</w:t>
            </w:r>
          </w:p>
        </w:tc>
        <w:tc>
          <w:tcPr>
            <w:tcW w:type="dxa" w:w="5228"/>
          </w:tcPr>
          <w:p>
            <w:pPr>
              <w:spacing w:after="0" w:line="276" w:lineRule="auto"/>
            </w:pPr>
            <w:r>
              <w:t>Dammtorkning och golvtork</w:t>
            </w:r>
          </w:p>
        </w:tc>
        <w:tc>
          <w:tcPr>
            <w:tcW w:type="dxa" w:w="1438"/>
          </w:tcPr>
          <w:p>
            <w:pPr>
              <w:spacing w:after="0" w:line="276" w:lineRule="auto"/>
            </w:pPr>
            <w:r>
              <w:t>Dagligen</w:t>
            </w:r>
          </w:p>
        </w:tc>
      </w:tr>
      <w:tr>
        <w:tc>
          <w:tcPr>
            <w:tcW w:type="dxa" w:w="2745"/>
          </w:tcPr>
          <w:p>
            <w:pPr>
              <w:spacing w:after="0" w:line="276" w:lineRule="auto"/>
            </w:pPr>
            <w:r>
              <w:t>Toaletter och skötrum</w:t>
            </w:r>
          </w:p>
        </w:tc>
        <w:tc>
          <w:tcPr>
            <w:tcW w:type="dxa" w:w="5228"/>
          </w:tcPr>
          <w:p>
            <w:pPr>
              <w:spacing w:after="0" w:line="276" w:lineRule="auto"/>
            </w:pPr>
            <w:r>
              <w:t>Desinfektion och rengöring</w:t>
            </w:r>
          </w:p>
        </w:tc>
        <w:tc>
          <w:tcPr>
            <w:tcW w:type="dxa" w:w="1438"/>
          </w:tcPr>
          <w:p>
            <w:pPr>
              <w:spacing w:after="0" w:line="276" w:lineRule="auto"/>
            </w:pPr>
            <w:r>
              <w:t>Dagligen</w:t>
            </w:r>
          </w:p>
        </w:tc>
      </w:tr>
      <w:tr>
        <w:tc>
          <w:tcPr>
            <w:tcW w:type="dxa" w:w="2745"/>
          </w:tcPr>
          <w:p>
            <w:pPr>
              <w:spacing w:after="0" w:line="276" w:lineRule="auto"/>
            </w:pPr>
            <w:r>
              <w:t>Kök och pentry</w:t>
            </w:r>
          </w:p>
        </w:tc>
        <w:tc>
          <w:tcPr>
            <w:tcW w:type="dxa" w:w="5228"/>
          </w:tcPr>
          <w:p>
            <w:pPr>
              <w:spacing w:after="0" w:line="276" w:lineRule="auto"/>
            </w:pPr>
            <w:r>
              <w:t>Rengöring av ytor och vitvaror utvändigt</w:t>
            </w:r>
          </w:p>
        </w:tc>
        <w:tc>
          <w:tcPr>
            <w:tcW w:type="dxa" w:w="1438"/>
          </w:tcPr>
          <w:p>
            <w:pPr>
              <w:spacing w:after="0" w:line="276" w:lineRule="auto"/>
            </w:pPr>
            <w:r>
              <w:t>Dagligen</w:t>
            </w:r>
          </w:p>
        </w:tc>
      </w:tr>
      <w:tr>
        <w:tc>
          <w:tcPr>
            <w:tcW w:type="dxa" w:w="2745"/>
          </w:tcPr>
          <w:p>
            <w:pPr>
              <w:spacing w:after="0" w:line="276" w:lineRule="auto"/>
            </w:pPr>
            <w:r>
              <w:t>Fönster invändigt</w:t>
            </w:r>
          </w:p>
        </w:tc>
        <w:tc>
          <w:tcPr>
            <w:tcW w:type="dxa" w:w="5228"/>
          </w:tcPr>
          <w:p>
            <w:pPr>
              <w:spacing w:after="0" w:line="276" w:lineRule="auto"/>
            </w:pPr>
            <w:r>
              <w:t>Putsgning</w:t>
            </w:r>
          </w:p>
        </w:tc>
        <w:tc>
          <w:tcPr>
            <w:tcW w:type="dxa" w:w="1438"/>
          </w:tcPr>
          <w:p>
            <w:pPr>
              <w:spacing w:after="0" w:line="276" w:lineRule="auto"/>
            </w:pPr>
            <w:r>
              <w:t>Månadsvis</w:t>
            </w:r>
          </w:p>
        </w:tc>
      </w:tr>
      <w:tr>
        <w:tc>
          <w:tcPr>
            <w:tcW w:type="dxa" w:w="2745"/>
          </w:tcPr>
          <w:p>
            <w:pPr>
              <w:spacing w:after="0" w:line="276" w:lineRule="auto"/>
            </w:pPr>
            <w:r>
              <w:t>Ventilationsdon</w:t>
            </w:r>
          </w:p>
        </w:tc>
        <w:tc>
          <w:tcPr>
            <w:tcW w:type="dxa" w:w="5228"/>
          </w:tcPr>
          <w:p>
            <w:pPr>
              <w:spacing w:after="0" w:line="276" w:lineRule="auto"/>
            </w:pPr>
            <w:r>
              <w:t>Dammborttagning</w:t>
            </w:r>
          </w:p>
        </w:tc>
        <w:tc>
          <w:tcPr>
            <w:tcW w:type="dxa" w:w="1438"/>
          </w:tcPr>
          <w:p>
            <w:pPr>
              <w:spacing w:after="0" w:line="276" w:lineRule="auto"/>
            </w:pPr>
            <w:r>
              <w:t>Kvartalsvis</w:t>
            </w:r>
          </w:p>
        </w:tc>
      </w:tr>
    </w:tbl>
    <w:p>
      <w:pPr>
        <w:spacing w:after="0"/>
      </w:pPr>
    </w:p>
    <w:p>
      <w:r>
        <w:t>Vår metod är flexibel och kan justeras efter specifika önskemål från respektive förskola. Vi upprättar en städchecklista tillsammans med varje enhet för att säkerställa att alla kritiska punkter täcks in enligt deras unika förutsättningar.</w:t>
      </w:r>
    </w:p>
    <w:p>
      <w:pPr>
        <w:pStyle w:val="Heading2"/>
      </w:pPr>
      <w:r>
        <w:t>Miljö- och kvalitetsarbete</w:t>
      </w:r>
    </w:p>
    <w:p>
      <w:r>
        <w:t>Nordljus Städ AB prioriterar en hållbar och säker städning anpassad för barnmiljöer. Vi använder enbart miljömärkta rengöringsmedel, främst med Svanenmärkning eller EU Ecolabel, för att minimera kemikalieexponering.</w:t>
      </w:r>
    </w:p>
    <w:p>
      <w:r>
        <w:t>Vår avfallsstrategi fokuserar på källsortering och minskning av plastanvändning genom återfyllnadssystem. Detta bidrar till en minskad miljöpåverkan och följer kommunens övergripande hållbarhetsmål.</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Säkerhet i barnmiljö.</w:t>
            </w:r>
            <w:r>
              <w:t xml:space="preserve"> </w:t>
            </w:r>
            <w:r>
              <w:t>Alla kemikalier förvaras låsta och utom räckhåll för barn. Personalen utbildas kontinuerligt i hantering av farliga ämnen och olycksfallsförebyggande arbete.</w:t>
            </w:r>
          </w:p>
        </w:tc>
      </w:tr>
    </w:tbl>
    <w:p>
      <w:pPr>
        <w:spacing w:after="40"/>
      </w:pPr>
    </w:p>
    <w:p>
      <w:r>
        <w:t>Kvalitetssäkringen sker via digitala kontrollistor som fylls i realtid av personalen, samt kvartalsvisa interna revisioner. Kundfeedback hanteras genom en dedikerad kontaktperson som säkerställer snabb åtgärd vid avvikelser.</w:t>
      </w:r>
    </w:p>
    <w:p>
      <w:r>
        <w:t>Alla metoder är anpassade efter gällande lagstiftning och branschriktlinjer för förskolor. Vi garanterar att inga starka doftämnen eller irriterande substanser används i lokalerna under verksamhetstid.</w:t>
      </w:r>
    </w:p>
    <w:p>
      <w:pPr>
        <w:pStyle w:val="Heading2"/>
      </w:pPr>
      <w:r>
        <w:t>Bemanningsplan och kompetensgaranti</w:t>
      </w:r>
    </w:p>
    <w:p>
      <w:r>
        <w:t>Nordljus Städ AB säkerställer en stabil och högkvalitativ bemanning genom att tillsätta en dedikerad städgrupp för varje förskola. Varje grupp består av en ansvarig städledare och två heltidsanställda lokalvårdare. Denna struktur garanterar kontinuitet, trygghet för barn och personal samt djup kännedom om respektive enhets specifika behov och hygienkrav.</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3 personer</w:t>
            </w:r>
          </w:p>
          <w:p>
            <w:r>
              <w:rPr>
                <w:b/>
                <w:sz w:val="19"/>
              </w:rPr>
              <w:t>Total personal per förskola</w:t>
            </w:r>
          </w:p>
          <w:p>
            <w:r>
              <w:rPr>
                <w:color w:val="6B7280"/>
                <w:sz w:val="17"/>
              </w:rPr>
              <w:t>1 ledare + 2 utförare</w:t>
            </w:r>
          </w:p>
        </w:tc>
        <w:tc>
          <w:tcPr>
            <w:tcW w:type="dxa" w:w="3249"/>
            <w:shd w:val="clear" w:color="auto" w:fill="EFF1F3"/>
            <w:tcBorders>
              <w:top w:val="single" w:sz="18" w:color="1F3A5F"/>
              <w:left w:val="nil"/>
              <w:bottom w:val="nil"/>
              <w:right w:val="nil"/>
            </w:tcBorders>
          </w:tcPr>
          <w:p>
            <w:pPr>
              <w:spacing w:after="0"/>
            </w:pPr>
            <w:r>
              <w:rPr>
                <w:b/>
                <w:color w:val="1F3A5F"/>
                <w:sz w:val="36"/>
              </w:rPr>
              <w:t>2 år</w:t>
            </w:r>
          </w:p>
          <w:p>
            <w:r>
              <w:rPr>
                <w:b/>
                <w:sz w:val="19"/>
              </w:rPr>
              <w:t>Minsta erfarenhetskrav</w:t>
            </w:r>
          </w:p>
          <w:p>
            <w:r>
              <w:rPr>
                <w:color w:val="6B7280"/>
                <w:sz w:val="17"/>
              </w:rPr>
              <w:t>Inom skol- och förskolestäd</w:t>
            </w:r>
          </w:p>
        </w:tc>
        <w:tc>
          <w:tcPr>
            <w:tcW w:type="dxa" w:w="3249"/>
            <w:shd w:val="clear" w:color="auto" w:fill="EFF1F3"/>
            <w:tcBorders>
              <w:top w:val="single" w:sz="18" w:color="1F3A5F"/>
              <w:left w:val="nil"/>
              <w:bottom w:val="nil"/>
              <w:right w:val="nil"/>
            </w:tcBorders>
          </w:tcPr>
          <w:p>
            <w:pPr>
              <w:spacing w:after="0"/>
            </w:pPr>
            <w:r>
              <w:rPr>
                <w:b/>
                <w:color w:val="1F3A5F"/>
                <w:sz w:val="36"/>
              </w:rPr>
              <w:t>5 personer</w:t>
            </w:r>
          </w:p>
          <w:p>
            <w:r>
              <w:rPr>
                <w:b/>
                <w:sz w:val="19"/>
              </w:rPr>
              <w:t>Tillgänglig reservpool</w:t>
            </w:r>
          </w:p>
          <w:p>
            <w:r>
              <w:rPr>
                <w:color w:val="6B7280"/>
                <w:sz w:val="17"/>
              </w:rPr>
              <w:t>Certifierade för akut insats</w:t>
            </w:r>
          </w:p>
        </w:tc>
      </w:tr>
    </w:tbl>
    <w:p>
      <w:pPr>
        <w:spacing w:after="40"/>
      </w:pPr>
    </w:p>
    <w:p>
      <w:r>
        <w:t>All personal genomgår Nordljus interna utbildningsprogram 'Trygg Miljö' innan tjänstgöring påbörjas. Utbildningen omfattar hantering av miljömärkta kemikalier, smittskyddsrutiner specifika för barnmiljöer samt sekretess och uppträdande i pedagogisk verksamhet. Löpande kompetensutveckling sker via kvartalsvisa workshops och årliga certifieringskontroller.</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Rutin vid sjukdom och frånvaro.</w:t>
            </w:r>
            <w:r>
              <w:t xml:space="preserve"> </w:t>
            </w:r>
            <w:r>
              <w:t>Vid planerad eller akut frånvaro aktiveras vår interna reservpool inom 60 minuter. Reservpersonalen är redan godkänd för arbete i kommunens lokaler och har genomgått samma bakgrundskontroll som ordinarie personal. Om reserv inte finns tillgänglig ombokas städtiden till nästkommande arbetsdag utan extra kostnad för kunden, efter överenskommelse med förskolechef.</w:t>
            </w:r>
          </w:p>
        </w:tc>
      </w:tr>
    </w:tbl>
    <w:p>
      <w:pPr>
        <w:spacing w:after="40"/>
      </w:pPr>
    </w:p>
    <w:p>
      <w:r>
        <w:t>För att minimera risken för personalbyten erbjuder vi en bindningstid på nyckelpersonal under avtalsperiodens första sex månader. Vi arbetar proaktivt med arbetsmiljö och schemaläggning för att säkerställa låg personalomsättning. Alla anställda har kollektivavtalsskyddade villkor vilket bidrar till långsiktig stabilitet i leveransen.</w:t>
      </w:r>
    </w:p>
    <w:p>
      <w:pPr>
        <w:pStyle w:val="Heading2"/>
      </w:pPr>
      <w:r>
        <w:t>Prislista i svenska kronor (SEK)</w:t>
      </w:r>
    </w:p>
    <w:p>
      <w:r>
        <w:t>Nedan följer en uppställning av kostnader för grundläggande lokalvård samt tilläggstjänster. Priserna är fasta under avtalsperiodens första år. Observera att specifika ytmått per förskola måste verifieras mot fastighetsunderlaget för exakt fakturering.</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4919"/>
        <w:gridCol w:w="2353"/>
        <w:gridCol w:w="2139"/>
      </w:tblGrid>
      <w:tr>
        <w:trPr>
          <w:tblHeader w:val="true"/>
          <w:cantSplit/>
        </w:trPr>
        <w:tc>
          <w:tcPr>
            <w:tcW w:type="dxa" w:w="4919"/>
            <w:shd w:val="clear" w:color="auto" w:fill="DFE3E8"/>
          </w:tcPr>
          <w:p>
            <w:pPr>
              <w:spacing w:after="0" w:line="276" w:lineRule="auto"/>
            </w:pPr>
            <w:r>
              <w:rPr>
                <w:b/>
              </w:rPr>
              <w:t>Tjänst</w:t>
            </w:r>
          </w:p>
        </w:tc>
        <w:tc>
          <w:tcPr>
            <w:tcW w:type="dxa" w:w="2353"/>
            <w:shd w:val="clear" w:color="auto" w:fill="DFE3E8"/>
          </w:tcPr>
          <w:p>
            <w:pPr>
              <w:spacing w:after="0" w:line="276" w:lineRule="auto"/>
            </w:pPr>
            <w:r>
              <w:rPr>
                <w:b/>
              </w:rPr>
              <w:t>Enhet</w:t>
            </w:r>
          </w:p>
        </w:tc>
        <w:tc>
          <w:tcPr>
            <w:tcW w:type="dxa" w:w="2139"/>
            <w:shd w:val="clear" w:color="auto" w:fill="DFE3E8"/>
          </w:tcPr>
          <w:p>
            <w:pPr>
              <w:spacing w:after="0" w:line="276" w:lineRule="auto"/>
            </w:pPr>
            <w:r>
              <w:rPr>
                <w:b/>
              </w:rPr>
              <w:t>Pris (SEK)</w:t>
            </w:r>
          </w:p>
        </w:tc>
      </w:tr>
      <w:tr>
        <w:tc>
          <w:tcPr>
            <w:tcW w:type="dxa" w:w="4919"/>
          </w:tcPr>
          <w:p>
            <w:pPr>
              <w:spacing w:after="0" w:line="276" w:lineRule="auto"/>
            </w:pPr>
            <w:r>
              <w:t>Grundrengöring förskola</w:t>
            </w:r>
          </w:p>
        </w:tc>
        <w:tc>
          <w:tcPr>
            <w:tcW w:type="dxa" w:w="2353"/>
          </w:tcPr>
          <w:p>
            <w:pPr>
              <w:spacing w:after="0" w:line="276" w:lineRule="auto"/>
            </w:pPr>
            <w:r>
              <w:t>Kr/m²/månad</w:t>
            </w:r>
          </w:p>
        </w:tc>
        <w:tc>
          <w:tcPr>
            <w:tcW w:type="dxa" w:w="2139"/>
          </w:tcPr>
          <w:p>
            <w:pPr>
              <w:spacing w:after="0" w:line="276" w:lineRule="auto"/>
              <w:jc w:val="right"/>
            </w:pPr>
            <w:r>
              <w:t>85,00</w:t>
            </w:r>
          </w:p>
        </w:tc>
      </w:tr>
      <w:tr>
        <w:tc>
          <w:tcPr>
            <w:tcW w:type="dxa" w:w="4919"/>
          </w:tcPr>
          <w:p>
            <w:pPr>
              <w:spacing w:after="0" w:line="276" w:lineRule="auto"/>
            </w:pPr>
            <w:r>
              <w:t>Storstädning (kvartal)</w:t>
            </w:r>
          </w:p>
        </w:tc>
        <w:tc>
          <w:tcPr>
            <w:tcW w:type="dxa" w:w="2353"/>
          </w:tcPr>
          <w:p>
            <w:pPr>
              <w:spacing w:after="0" w:line="276" w:lineRule="auto"/>
            </w:pPr>
            <w:r>
              <w:t>Kr/timme</w:t>
            </w:r>
          </w:p>
        </w:tc>
        <w:tc>
          <w:tcPr>
            <w:tcW w:type="dxa" w:w="2139"/>
          </w:tcPr>
          <w:p>
            <w:pPr>
              <w:spacing w:after="0" w:line="276" w:lineRule="auto"/>
              <w:jc w:val="right"/>
            </w:pPr>
            <w:r>
              <w:t>450,00</w:t>
            </w:r>
          </w:p>
        </w:tc>
      </w:tr>
      <w:tr>
        <w:tc>
          <w:tcPr>
            <w:tcW w:type="dxa" w:w="4919"/>
          </w:tcPr>
          <w:p>
            <w:pPr>
              <w:spacing w:after="0" w:line="276" w:lineRule="auto"/>
            </w:pPr>
            <w:r>
              <w:t>Fönsterputs invändigt</w:t>
            </w:r>
          </w:p>
        </w:tc>
        <w:tc>
          <w:tcPr>
            <w:tcW w:type="dxa" w:w="2353"/>
          </w:tcPr>
          <w:p>
            <w:pPr>
              <w:spacing w:after="0" w:line="276" w:lineRule="auto"/>
            </w:pPr>
            <w:r>
              <w:t>Kr/fönster</w:t>
            </w:r>
          </w:p>
        </w:tc>
        <w:tc>
          <w:tcPr>
            <w:tcW w:type="dxa" w:w="2139"/>
          </w:tcPr>
          <w:p>
            <w:pPr>
              <w:spacing w:after="0" w:line="276" w:lineRule="auto"/>
              <w:jc w:val="right"/>
            </w:pPr>
            <w:r>
              <w:t>120,00</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Viktigt angående prissättning.</w:t>
            </w:r>
            <w:r>
              <w:t xml:space="preserve"> </w:t>
            </w:r>
            <w:r>
              <w:t>De angivna priserna är realistiska indicier för marknaden i Uppsala men utgör estimat. Bekräfta nuvarande leverantörspriser för kemikalier och exakta golvytor innan submission.</w:t>
            </w:r>
          </w:p>
        </w:tc>
      </w:tr>
    </w:tbl>
    <w:p>
      <w:pPr>
        <w:spacing w:after="40"/>
      </w:pPr>
    </w:p>
    <w:tbl>
      <w:tblPr>
        <w:tblW w:type="auto" w:w="0"/>
        <w:tblLook w:firstColumn="1" w:firstRow="1" w:lastColumn="0" w:lastRow="0" w:noHBand="0" w:noVBand="1" w:val="04A0"/>
      </w:tblPr>
      <w:tblGrid>
        <w:gridCol w:w="4873"/>
        <w:gridCol w:w="4873"/>
      </w:tblGrid>
      <w:tr>
        <w:tc>
          <w:tcPr>
            <w:tcW w:type="dxa" w:w="4873"/>
            <w:shd w:val="clear" w:color="auto" w:fill="EFF1F3"/>
            <w:tcBorders>
              <w:top w:val="single" w:sz="18" w:color="1F3A5F"/>
              <w:left w:val="nil"/>
              <w:bottom w:val="nil"/>
              <w:right w:val="nil"/>
            </w:tcBorders>
          </w:tcPr>
          <w:p>
            <w:pPr>
              <w:spacing w:after="0"/>
            </w:pPr>
            <w:r>
              <w:rPr>
                <w:b/>
                <w:color w:val="1F3A5F"/>
                <w:sz w:val="36"/>
              </w:rPr>
              <w:t>12 500 SEK</w:t>
            </w:r>
          </w:p>
          <w:p>
            <w:r>
              <w:rPr>
                <w:b/>
                <w:sz w:val="19"/>
              </w:rPr>
              <w:t>Estimerat månadspris per förskola</w:t>
            </w:r>
          </w:p>
          <w:p>
            <w:r>
              <w:rPr>
                <w:color w:val="6B7280"/>
                <w:sz w:val="17"/>
              </w:rPr>
              <w:t>Baserat på ca 150 m²</w:t>
            </w:r>
          </w:p>
        </w:tc>
        <w:tc>
          <w:tcPr>
            <w:tcW w:type="dxa" w:w="4873"/>
            <w:shd w:val="clear" w:color="auto" w:fill="EFF1F3"/>
            <w:tcBorders>
              <w:top w:val="single" w:sz="18" w:color="1F3A5F"/>
              <w:left w:val="nil"/>
              <w:bottom w:val="nil"/>
              <w:right w:val="nil"/>
            </w:tcBorders>
          </w:tcPr>
          <w:p>
            <w:pPr>
              <w:spacing w:after="0"/>
            </w:pPr>
            <w:r>
              <w:rPr>
                <w:b/>
                <w:color w:val="1F3A5F"/>
                <w:sz w:val="36"/>
              </w:rPr>
              <w:t>450 000 SEK</w:t>
            </w:r>
          </w:p>
          <w:p>
            <w:r>
              <w:rPr>
                <w:b/>
                <w:sz w:val="19"/>
              </w:rPr>
              <w:t>Totalt årspris (3 förskolor)</w:t>
            </w:r>
          </w:p>
          <w:p>
            <w:r>
              <w:rPr>
                <w:color w:val="6B7280"/>
                <w:sz w:val="17"/>
              </w:rPr>
              <w:t>Exklusive moms</w:t>
            </w:r>
          </w:p>
        </w:tc>
      </w:tr>
    </w:tbl>
    <w:p>
      <w:pPr>
        <w:spacing w:after="40"/>
      </w:pPr>
    </w:p>
    <w:p>
      <w:r>
        <w:t>Nordljus Städ AB intygar härmed att lämnat anbud är korrekt, fullständigt och bindande. Vi bekräftar att vi uppfyller samtliga skall-krav i upphandlingsunderlaget för lokalvård av tre förskolor i Uppsala kommun.</w:t>
      </w:r>
    </w:p>
    <w:p>
      <w:r>
        <w:t>Vi försäkrar att inga uteslutningsgrunder föreligger enligt lagen om offentlig upphandling (LOU). Alla lämnade uppgifter är verifierbara och vi åtar oss ansvaret för utförandet enligt angivna villkor och tidsplan.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Undertecknande.</w:t>
            </w:r>
            <w:r>
              <w:t xml:space="preserve"> </w:t>
            </w:r>
            <w:r>
              <w:t>Detta dokument ska undertecknas digitalt eller fysiskt av verkställande direktör för att vara giltigt. Namnteckning: To be confirmed. Datum: To be confirmed.</w:t>
            </w:r>
          </w:p>
        </w:tc>
      </w:tr>
    </w:tbl>
    <w:p>
      <w:pPr>
        <w:spacing w:after="4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Anbud till Uppsala kommun för lokalvård av tre förskolor enligt LOU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