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r>
        <w:rPr>
          <w:b/>
          <w:color w:val="1F3A5F"/>
          <w:sz w:val="20"/>
        </w:rPr>
        <w:t>REPORT</w:t>
      </w:r>
    </w:p>
    <w:p>
      <w:pPr>
        <w:pStyle w:val="Title"/>
      </w:pPr>
      <w:r>
        <w:t>Technical and Financial Proposal for Supply and Installation of 300 Ergonomic Classroom Desks for ECDE Centres in Nakuru County</w:t>
      </w:r>
    </w:p>
    <w:p>
      <w:pPr>
        <w:ind w:right="6803"/>
        <w:pBdr>
          <w:bottom w:val="single" w:sz="18" w:space="1" w:color="1F3A5F"/>
        </w:pBdr>
      </w:pPr>
    </w:p>
    <w:p>
      <w:r>
        <w:rPr>
          <w:color w:val="6B7280"/>
          <w:sz w:val="22"/>
        </w:rPr>
        <w:t>October 2026</w:t>
      </w:r>
    </w:p>
    <w:p>
      <w:r>
        <w:br w:type="page"/>
      </w:r>
    </w:p>
    <w:p>
      <w:pPr>
        <w:pStyle w:val="Heading2"/>
      </w:pPr>
      <w:r>
        <w:t>Cover Letter Addressing Tender Compliance and Commitment to ECDE Infrastructure Equity</w:t>
      </w:r>
    </w:p>
    <w:p>
      <w:r>
        <w:t>Kazi Bora Builders Ltd, a Nakuru-based contractor, hereby submits this technical and financial proposal in response to the Nakuru County Government tender for the supply and installation of 300 ergonomic classroom desks for ECDE centres. We confirm that we have read and understood all tender conditions and that this proposal remains valid for 120 days from the submission date.</w:t>
      </w:r>
    </w:p>
    <w:p>
      <w:r>
        <w:t>We affirm our compliance with the Public Procurement and Asset Disposal Act 2015 and confirm that all mandatory statutory documents, including KRA PIN, AGPO certificate, and tax compliance certificate, are valid and enclosed. We are not debarred from participating in public procurement.</w:t>
      </w:r>
    </w:p>
    <w:p>
      <w:r>
        <w:t>Our proposal aligns with Nakuru County's ECDE infrastructure priorities by delivering durable, ergonomically designed desks that support early childhood learning. We commit to timely delivery, quality workmanship, and community engagement throughout the project.</w:t>
      </w:r>
    </w:p>
    <w:p>
      <w:r>
        <w:t>Authorised signature: ______________________ Date: ______________________</w:t>
      </w:r>
    </w:p>
    <w:p>
      <w:pPr>
        <w:pStyle w:val="Heading2"/>
      </w:pPr>
      <w:r>
        <w:t>Mandatory Compliance Checklist with Validated Statutory Documents</w:t>
      </w:r>
    </w:p>
    <w:p>
      <w:r>
        <w:t>Kazi Bora Builders Ltd confirms that all mandatory eligibility documents required under Sections 49 and 50 of the Public Procurement and Asset Disposal Act, 2015 are valid, current, and available for verification. The KRA PIN, AGPO certificate, and Tax Compliance Certificate are attached in the bid submission. The company is registered and operates from Nakuru, and the AGPO certificate confirms access to the reserved procurement category for youth, women, or persons with disabilities as applicable. The Tax Compliance Certificate is valid at the date of submission.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3884"/>
        <w:gridCol w:w="1195"/>
        <w:gridCol w:w="4332"/>
      </w:tblGrid>
      <w:tr>
        <w:trPr>
          <w:tblHeader w:val="true"/>
          <w:cantSplit/>
        </w:trPr>
        <w:tc>
          <w:tcPr>
            <w:tcW w:type="dxa" w:w="3884"/>
            <w:shd w:val="clear" w:color="auto" w:fill="DFE3E8"/>
          </w:tcPr>
          <w:p>
            <w:pPr>
              <w:spacing w:after="0" w:line="276" w:lineRule="auto"/>
            </w:pPr>
            <w:r>
              <w:rPr>
                <w:b/>
              </w:rPr>
              <w:t>Requirement</w:t>
            </w:r>
          </w:p>
        </w:tc>
        <w:tc>
          <w:tcPr>
            <w:tcW w:type="dxa" w:w="1195"/>
            <w:shd w:val="clear" w:color="auto" w:fill="DFE3E8"/>
          </w:tcPr>
          <w:p>
            <w:pPr>
              <w:spacing w:after="0" w:line="276" w:lineRule="auto"/>
            </w:pPr>
            <w:r>
              <w:rPr>
                <w:b/>
              </w:rPr>
              <w:t>Status</w:t>
            </w:r>
          </w:p>
        </w:tc>
        <w:tc>
          <w:tcPr>
            <w:tcW w:type="dxa" w:w="4332"/>
            <w:shd w:val="clear" w:color="auto" w:fill="DFE3E8"/>
          </w:tcPr>
          <w:p>
            <w:pPr>
              <w:spacing w:after="0" w:line="276" w:lineRule="auto"/>
            </w:pPr>
            <w:r>
              <w:rPr>
                <w:b/>
              </w:rPr>
              <w:t>Notes</w:t>
            </w:r>
          </w:p>
        </w:tc>
      </w:tr>
      <w:tr>
        <w:tc>
          <w:tcPr>
            <w:tcW w:type="dxa" w:w="3884"/>
          </w:tcPr>
          <w:p>
            <w:pPr>
              <w:spacing w:after="0" w:line="276" w:lineRule="auto"/>
            </w:pPr>
            <w:r>
              <w:t>KRA PIN</w:t>
            </w:r>
          </w:p>
        </w:tc>
        <w:tc>
          <w:tcPr>
            <w:tcW w:type="dxa" w:w="1195"/>
          </w:tcPr>
          <w:p>
            <w:pPr>
              <w:spacing w:after="0" w:line="276" w:lineRule="auto"/>
            </w:pPr>
            <w:r>
              <w:t>Attached</w:t>
            </w:r>
          </w:p>
        </w:tc>
        <w:tc>
          <w:tcPr>
            <w:tcW w:type="dxa" w:w="4332"/>
          </w:tcPr>
          <w:p>
            <w:pPr>
              <w:spacing w:after="0" w:line="276" w:lineRule="auto"/>
            </w:pPr>
            <w:r>
              <w:t>Valid at submission date</w:t>
            </w:r>
          </w:p>
        </w:tc>
      </w:tr>
      <w:tr>
        <w:tc>
          <w:tcPr>
            <w:tcW w:type="dxa" w:w="3884"/>
          </w:tcPr>
          <w:p>
            <w:pPr>
              <w:spacing w:after="0" w:line="276" w:lineRule="auto"/>
            </w:pPr>
            <w:r>
              <w:t>AGPO Certificate</w:t>
            </w:r>
          </w:p>
        </w:tc>
        <w:tc>
          <w:tcPr>
            <w:tcW w:type="dxa" w:w="1195"/>
          </w:tcPr>
          <w:p>
            <w:pPr>
              <w:spacing w:after="0" w:line="276" w:lineRule="auto"/>
            </w:pPr>
            <w:r>
              <w:t>Attached</w:t>
            </w:r>
          </w:p>
        </w:tc>
        <w:tc>
          <w:tcPr>
            <w:tcW w:type="dxa" w:w="4332"/>
          </w:tcPr>
          <w:p>
            <w:pPr>
              <w:spacing w:after="0" w:line="276" w:lineRule="auto"/>
            </w:pPr>
            <w:r>
              <w:t>Reserved category eligibility</w:t>
            </w:r>
          </w:p>
        </w:tc>
      </w:tr>
      <w:tr>
        <w:tc>
          <w:tcPr>
            <w:tcW w:type="dxa" w:w="3884"/>
          </w:tcPr>
          <w:p>
            <w:pPr>
              <w:spacing w:after="0" w:line="276" w:lineRule="auto"/>
            </w:pPr>
            <w:r>
              <w:t>Tax Compliance Certificate</w:t>
            </w:r>
          </w:p>
        </w:tc>
        <w:tc>
          <w:tcPr>
            <w:tcW w:type="dxa" w:w="1195"/>
          </w:tcPr>
          <w:p>
            <w:pPr>
              <w:spacing w:after="0" w:line="276" w:lineRule="auto"/>
            </w:pPr>
            <w:r>
              <w:t>Attached</w:t>
            </w:r>
          </w:p>
        </w:tc>
        <w:tc>
          <w:tcPr>
            <w:tcW w:type="dxa" w:w="4332"/>
          </w:tcPr>
          <w:p>
            <w:pPr>
              <w:spacing w:after="0" w:line="276" w:lineRule="auto"/>
            </w:pPr>
            <w:r>
              <w:t>Valid at submission date</w:t>
            </w:r>
          </w:p>
        </w:tc>
      </w:tr>
    </w:tbl>
    <w:p>
      <w:pPr>
        <w:spacing w:after="0"/>
      </w:pPr>
    </w:p>
    <w:p>
      <w:pPr>
        <w:pStyle w:val="Heading2"/>
      </w:pPr>
      <w:r>
        <w:t>Context-Specific Technical Implementation Plan for ECDE Desk Deployment</w:t>
      </w:r>
    </w:p>
    <w:p>
      <w:r>
        <w:t>Kazi Bora Builders Ltd proposes the supply of 300 ergonomic desks designed specifically for Early Childhood Development Education (ECDE) learners. Each unit complies with EN 1729 standards for furniture dimensions and safety, ensuring age-appropriate proportions that support proper posture and cognitive engagement. The design features rounded edges to prevent injury, non-toxic finishes, and adjustable height mechanisms to accommodate varying developmental stages within the ECDE cohort. All timber components are sourced from certified sustainable pine and birch plywood suppliers within the Rift Valley region.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Local Material Sourcing Strategy.</w:t>
            </w:r>
            <w:r>
              <w:t xml:space="preserve"> </w:t>
            </w:r>
            <w:r>
              <w:t>All timber components are sourced from certified sustainable pine and birch plywood suppliers within the Rift Valley region. This approach reduces carbon footprint associated with transport and supports local forestry initiatives. Confirm current supplier stock levels before finalizing the procurement schedule.</w:t>
            </w:r>
          </w:p>
        </w:tc>
      </w:tr>
    </w:tbl>
    <w:p>
      <w:pPr>
        <w:spacing w:after="40"/>
      </w:pPr>
    </w:p>
    <w:p>
      <w:r>
        <w:t>Assembly will be conducted using a modular pre-fabrication method at our Nakuru workshop to minimize on-site disruption. Final installation at ECDE centres involves securing units to floor anchors where required by site conditions, ensuring stability during active play. All hardware is stainless steel to resist corrosion in high-humidity environments common in certain sub-counties.</w:t>
      </w:r>
    </w:p>
    <w:p>
      <w:r>
        <w:t>Quality assurance protocols align strictly with KEBS KS 2262:2021 standards for school furniture. Each batch undergoes load-bearing tests and finish durability checks before dispatch. A dedicated Quality Assurance Officer will inspect every unit upon delivery to ensure zero defects prior to handover to county officials.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934"/>
        <w:gridCol w:w="5028"/>
        <w:gridCol w:w="2449"/>
      </w:tblGrid>
      <w:tr>
        <w:trPr>
          <w:tblHeader w:val="true"/>
          <w:cantSplit/>
        </w:trPr>
        <w:tc>
          <w:tcPr>
            <w:tcW w:type="dxa" w:w="1934"/>
            <w:shd w:val="clear" w:color="auto" w:fill="DFE3E8"/>
          </w:tcPr>
          <w:p>
            <w:pPr>
              <w:spacing w:after="0" w:line="276" w:lineRule="auto"/>
            </w:pPr>
            <w:r>
              <w:rPr>
                <w:b/>
              </w:rPr>
              <w:t>Component</w:t>
            </w:r>
          </w:p>
        </w:tc>
        <w:tc>
          <w:tcPr>
            <w:tcW w:type="dxa" w:w="5028"/>
            <w:shd w:val="clear" w:color="auto" w:fill="DFE3E8"/>
          </w:tcPr>
          <w:p>
            <w:pPr>
              <w:spacing w:after="0" w:line="276" w:lineRule="auto"/>
            </w:pPr>
            <w:r>
              <w:rPr>
                <w:b/>
              </w:rPr>
              <w:t>Specification</w:t>
            </w:r>
          </w:p>
        </w:tc>
        <w:tc>
          <w:tcPr>
            <w:tcW w:type="dxa" w:w="2449"/>
            <w:shd w:val="clear" w:color="auto" w:fill="DFE3E8"/>
          </w:tcPr>
          <w:p>
            <w:pPr>
              <w:spacing w:after="0" w:line="276" w:lineRule="auto"/>
            </w:pPr>
            <w:r>
              <w:rPr>
                <w:b/>
              </w:rPr>
              <w:t>Compliance Standard</w:t>
            </w:r>
          </w:p>
        </w:tc>
      </w:tr>
      <w:tr>
        <w:tc>
          <w:tcPr>
            <w:tcW w:type="dxa" w:w="1934"/>
          </w:tcPr>
          <w:p>
            <w:pPr>
              <w:spacing w:after="0" w:line="276" w:lineRule="auto"/>
            </w:pPr>
            <w:r>
              <w:t>Desktop Surface</w:t>
            </w:r>
          </w:p>
        </w:tc>
        <w:tc>
          <w:tcPr>
            <w:tcW w:type="dxa" w:w="5028"/>
          </w:tcPr>
          <w:p>
            <w:pPr>
              <w:spacing w:after="0" w:line="276" w:lineRule="auto"/>
            </w:pPr>
            <w:r>
              <w:t>High-pressure laminate over 18mm MDF</w:t>
            </w:r>
          </w:p>
        </w:tc>
        <w:tc>
          <w:tcPr>
            <w:tcW w:type="dxa" w:w="2449"/>
          </w:tcPr>
          <w:p>
            <w:pPr>
              <w:spacing w:after="0" w:line="276" w:lineRule="auto"/>
            </w:pPr>
            <w:r>
              <w:t>KEBS KS 2262:2021</w:t>
            </w:r>
          </w:p>
        </w:tc>
      </w:tr>
      <w:tr>
        <w:tc>
          <w:tcPr>
            <w:tcW w:type="dxa" w:w="1934"/>
          </w:tcPr>
          <w:p>
            <w:pPr>
              <w:spacing w:after="0" w:line="276" w:lineRule="auto"/>
            </w:pPr>
            <w:r>
              <w:t>Frame Structure</w:t>
            </w:r>
          </w:p>
        </w:tc>
        <w:tc>
          <w:tcPr>
            <w:tcW w:type="dxa" w:w="5028"/>
          </w:tcPr>
          <w:p>
            <w:pPr>
              <w:spacing w:after="0" w:line="276" w:lineRule="auto"/>
            </w:pPr>
            <w:r>
              <w:t>Powder-coated steel tube, 25mm diameter</w:t>
            </w:r>
          </w:p>
        </w:tc>
        <w:tc>
          <w:tcPr>
            <w:tcW w:type="dxa" w:w="2449"/>
          </w:tcPr>
          <w:p>
            <w:pPr>
              <w:spacing w:after="0" w:line="276" w:lineRule="auto"/>
            </w:pPr>
            <w:r>
              <w:t>EN 1729-1</w:t>
            </w:r>
          </w:p>
        </w:tc>
      </w:tr>
      <w:tr>
        <w:tc>
          <w:tcPr>
            <w:tcW w:type="dxa" w:w="1934"/>
          </w:tcPr>
          <w:p>
            <w:pPr>
              <w:spacing w:after="0" w:line="276" w:lineRule="auto"/>
            </w:pPr>
            <w:r>
              <w:t>Fasteners</w:t>
            </w:r>
          </w:p>
        </w:tc>
        <w:tc>
          <w:tcPr>
            <w:tcW w:type="dxa" w:w="5028"/>
          </w:tcPr>
          <w:p>
            <w:pPr>
              <w:spacing w:after="0" w:line="276" w:lineRule="auto"/>
            </w:pPr>
            <w:r>
              <w:t>Stainless steel bolts and caps</w:t>
            </w:r>
          </w:p>
        </w:tc>
        <w:tc>
          <w:tcPr>
            <w:tcW w:type="dxa" w:w="2449"/>
          </w:tcPr>
          <w:p>
            <w:pPr>
              <w:spacing w:after="0" w:line="276" w:lineRule="auto"/>
              <w:jc w:val="right"/>
            </w:pPr>
            <w:r>
              <w:t>ISO 4014</w:t>
            </w:r>
          </w:p>
        </w:tc>
      </w:tr>
    </w:tbl>
    <w:p>
      <w:pPr>
        <w:spacing w:after="0"/>
      </w:pPr>
    </w:p>
    <w:p>
      <w:pPr>
        <w:pStyle w:val="Heading2"/>
      </w:pPr>
      <w:r>
        <w:t>Phased 21-Day Delivery and Installation Timeline with County Coordination Milestones</w:t>
      </w:r>
    </w:p>
    <w:p>
      <w:r>
        <w:t>Kazi Bora Builders Ltd will deliver and install 300 ergonomic classroom desks for ECDE centres in Nakuru County over a 21-day contract period, organised into six batches of 50 units. The programme is sequenced to match centre access windows, minimise disruption to ongoing ECDE lessons, and allow county verification sign-off at the end of each batch.</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538"/>
        <w:gridCol w:w="538"/>
        <w:gridCol w:w="3092"/>
        <w:gridCol w:w="2151"/>
        <w:gridCol w:w="3092"/>
      </w:tblGrid>
      <w:tr>
        <w:trPr>
          <w:tblHeader w:val="true"/>
          <w:cantSplit/>
        </w:trPr>
        <w:tc>
          <w:tcPr>
            <w:tcW w:type="dxa" w:w="538"/>
            <w:shd w:val="clear" w:color="auto" w:fill="DFE3E8"/>
          </w:tcPr>
          <w:p>
            <w:pPr>
              <w:spacing w:after="0" w:line="276" w:lineRule="auto"/>
            </w:pPr>
            <w:r>
              <w:rPr>
                <w:b/>
              </w:rPr>
              <w:t>Phase</w:t>
            </w:r>
          </w:p>
        </w:tc>
        <w:tc>
          <w:tcPr>
            <w:tcW w:type="dxa" w:w="538"/>
            <w:shd w:val="clear" w:color="auto" w:fill="DFE3E8"/>
          </w:tcPr>
          <w:p>
            <w:pPr>
              <w:spacing w:after="0" w:line="276" w:lineRule="auto"/>
            </w:pPr>
            <w:r>
              <w:rPr>
                <w:b/>
              </w:rPr>
              <w:t>Days</w:t>
            </w:r>
          </w:p>
        </w:tc>
        <w:tc>
          <w:tcPr>
            <w:tcW w:type="dxa" w:w="3092"/>
            <w:shd w:val="clear" w:color="auto" w:fill="DFE3E8"/>
          </w:tcPr>
          <w:p>
            <w:pPr>
              <w:spacing w:after="0" w:line="276" w:lineRule="auto"/>
            </w:pPr>
            <w:r>
              <w:rPr>
                <w:b/>
              </w:rPr>
              <w:t>Activity</w:t>
            </w:r>
          </w:p>
        </w:tc>
        <w:tc>
          <w:tcPr>
            <w:tcW w:type="dxa" w:w="2151"/>
            <w:shd w:val="clear" w:color="auto" w:fill="DFE3E8"/>
          </w:tcPr>
          <w:p>
            <w:pPr>
              <w:spacing w:after="0" w:line="276" w:lineRule="auto"/>
            </w:pPr>
            <w:r>
              <w:rPr>
                <w:b/>
              </w:rPr>
              <w:t>Sub-County Focus</w:t>
            </w:r>
          </w:p>
        </w:tc>
        <w:tc>
          <w:tcPr>
            <w:tcW w:type="dxa" w:w="3092"/>
            <w:shd w:val="clear" w:color="auto" w:fill="DFE3E8"/>
          </w:tcPr>
          <w:p>
            <w:pPr>
              <w:spacing w:after="0" w:line="276" w:lineRule="auto"/>
            </w:pPr>
            <w:r>
              <w:rPr>
                <w:b/>
              </w:rPr>
              <w:t>Verification Milestone</w:t>
            </w:r>
          </w:p>
        </w:tc>
      </w:tr>
      <w:tr>
        <w:tc>
          <w:tcPr>
            <w:tcW w:type="dxa" w:w="538"/>
          </w:tcPr>
          <w:p>
            <w:pPr>
              <w:spacing w:after="0" w:line="276" w:lineRule="auto"/>
            </w:pPr>
            <w:r>
              <w:t>1</w:t>
            </w:r>
          </w:p>
        </w:tc>
        <w:tc>
          <w:tcPr>
            <w:tcW w:type="dxa" w:w="538"/>
          </w:tcPr>
          <w:p>
            <w:pPr>
              <w:spacing w:after="0" w:line="276" w:lineRule="auto"/>
            </w:pPr>
            <w:r>
              <w:t>1-3</w:t>
            </w:r>
          </w:p>
        </w:tc>
        <w:tc>
          <w:tcPr>
            <w:tcW w:type="dxa" w:w="3092"/>
          </w:tcPr>
          <w:p>
            <w:pPr>
              <w:spacing w:after="0" w:line="276" w:lineRule="auto"/>
            </w:pPr>
            <w:r>
              <w:t>Mobilisation, site readiness checks, and delivery of first 50 desks</w:t>
            </w:r>
          </w:p>
        </w:tc>
        <w:tc>
          <w:tcPr>
            <w:tcW w:type="dxa" w:w="2151"/>
          </w:tcPr>
          <w:p>
            <w:pPr>
              <w:spacing w:after="0" w:line="276" w:lineRule="auto"/>
            </w:pPr>
            <w:r>
              <w:t>Nakuru Town East</w:t>
            </w:r>
          </w:p>
        </w:tc>
        <w:tc>
          <w:tcPr>
            <w:tcW w:type="dxa" w:w="3092"/>
          </w:tcPr>
          <w:p>
            <w:pPr>
              <w:spacing w:after="0" w:line="276" w:lineRule="auto"/>
            </w:pPr>
            <w:r>
              <w:t>Joint inspection and sign-off of Batch 1 (50 units)</w:t>
            </w:r>
          </w:p>
        </w:tc>
      </w:tr>
      <w:tr>
        <w:tc>
          <w:tcPr>
            <w:tcW w:type="dxa" w:w="538"/>
          </w:tcPr>
          <w:p>
            <w:pPr>
              <w:spacing w:after="0" w:line="276" w:lineRule="auto"/>
            </w:pPr>
            <w:r>
              <w:t>2</w:t>
            </w:r>
          </w:p>
        </w:tc>
        <w:tc>
          <w:tcPr>
            <w:tcW w:type="dxa" w:w="538"/>
          </w:tcPr>
          <w:p>
            <w:pPr>
              <w:spacing w:after="0" w:line="276" w:lineRule="auto"/>
            </w:pPr>
            <w:r>
              <w:t>4-7</w:t>
            </w:r>
          </w:p>
        </w:tc>
        <w:tc>
          <w:tcPr>
            <w:tcW w:type="dxa" w:w="3092"/>
          </w:tcPr>
          <w:p>
            <w:pPr>
              <w:spacing w:after="0" w:line="276" w:lineRule="auto"/>
            </w:pPr>
            <w:r>
              <w:t>Installation of Batch 1 and delivery of Batch 2 (50 units)</w:t>
            </w:r>
          </w:p>
        </w:tc>
        <w:tc>
          <w:tcPr>
            <w:tcW w:type="dxa" w:w="2151"/>
          </w:tcPr>
          <w:p>
            <w:pPr>
              <w:spacing w:after="0" w:line="276" w:lineRule="auto"/>
            </w:pPr>
            <w:r>
              <w:t>Nakuru Town East and Nakuru West</w:t>
            </w:r>
          </w:p>
        </w:tc>
        <w:tc>
          <w:tcPr>
            <w:tcW w:type="dxa" w:w="3092"/>
          </w:tcPr>
          <w:p>
            <w:pPr>
              <w:spacing w:after="0" w:line="276" w:lineRule="auto"/>
            </w:pPr>
            <w:r>
              <w:t>Joint inspection and sign-off of Batch 2 (50 units)</w:t>
            </w:r>
          </w:p>
        </w:tc>
      </w:tr>
      <w:tr>
        <w:tc>
          <w:tcPr>
            <w:tcW w:type="dxa" w:w="538"/>
          </w:tcPr>
          <w:p>
            <w:pPr>
              <w:spacing w:after="0" w:line="276" w:lineRule="auto"/>
            </w:pPr>
            <w:r>
              <w:t>3</w:t>
            </w:r>
          </w:p>
        </w:tc>
        <w:tc>
          <w:tcPr>
            <w:tcW w:type="dxa" w:w="538"/>
          </w:tcPr>
          <w:p>
            <w:pPr>
              <w:spacing w:after="0" w:line="276" w:lineRule="auto"/>
            </w:pPr>
            <w:r>
              <w:t>8-11</w:t>
            </w:r>
          </w:p>
        </w:tc>
        <w:tc>
          <w:tcPr>
            <w:tcW w:type="dxa" w:w="3092"/>
          </w:tcPr>
          <w:p>
            <w:pPr>
              <w:spacing w:after="0" w:line="276" w:lineRule="auto"/>
            </w:pPr>
            <w:r>
              <w:t>Installation of Batch 2 and delivery of Batch 3 (50 units)</w:t>
            </w:r>
          </w:p>
        </w:tc>
        <w:tc>
          <w:tcPr>
            <w:tcW w:type="dxa" w:w="2151"/>
          </w:tcPr>
          <w:p>
            <w:pPr>
              <w:spacing w:after="0" w:line="276" w:lineRule="auto"/>
            </w:pPr>
            <w:r>
              <w:t>Nakuru West</w:t>
            </w:r>
          </w:p>
        </w:tc>
        <w:tc>
          <w:tcPr>
            <w:tcW w:type="dxa" w:w="3092"/>
          </w:tcPr>
          <w:p>
            <w:pPr>
              <w:spacing w:after="0" w:line="276" w:lineRule="auto"/>
            </w:pPr>
            <w:r>
              <w:t>Joint inspection and sign-off of Batch 3 (50 units)</w:t>
            </w:r>
          </w:p>
        </w:tc>
      </w:tr>
      <w:tr>
        <w:tc>
          <w:tcPr>
            <w:tcW w:type="dxa" w:w="538"/>
          </w:tcPr>
          <w:p>
            <w:pPr>
              <w:spacing w:after="0" w:line="276" w:lineRule="auto"/>
            </w:pPr>
            <w:r>
              <w:t>4</w:t>
            </w:r>
          </w:p>
        </w:tc>
        <w:tc>
          <w:tcPr>
            <w:tcW w:type="dxa" w:w="538"/>
          </w:tcPr>
          <w:p>
            <w:pPr>
              <w:spacing w:after="0" w:line="276" w:lineRule="auto"/>
            </w:pPr>
            <w:r>
              <w:t>12-15</w:t>
            </w:r>
          </w:p>
        </w:tc>
        <w:tc>
          <w:tcPr>
            <w:tcW w:type="dxa" w:w="3092"/>
          </w:tcPr>
          <w:p>
            <w:pPr>
              <w:spacing w:after="0" w:line="276" w:lineRule="auto"/>
            </w:pPr>
            <w:r>
              <w:t>Installation of Batch 3 and delivery of Batch 4 (50 units)</w:t>
            </w:r>
          </w:p>
        </w:tc>
        <w:tc>
          <w:tcPr>
            <w:tcW w:type="dxa" w:w="2151"/>
          </w:tcPr>
          <w:p>
            <w:pPr>
              <w:spacing w:after="0" w:line="276" w:lineRule="auto"/>
            </w:pPr>
            <w:r>
              <w:t>Nakuru West and Gilgil</w:t>
            </w:r>
          </w:p>
        </w:tc>
        <w:tc>
          <w:tcPr>
            <w:tcW w:type="dxa" w:w="3092"/>
          </w:tcPr>
          <w:p>
            <w:pPr>
              <w:spacing w:after="0" w:line="276" w:lineRule="auto"/>
            </w:pPr>
            <w:r>
              <w:t>Joint inspection and sign-off of Batch 4 (50 units)</w:t>
            </w:r>
          </w:p>
        </w:tc>
      </w:tr>
      <w:tr>
        <w:tc>
          <w:tcPr>
            <w:tcW w:type="dxa" w:w="538"/>
          </w:tcPr>
          <w:p>
            <w:pPr>
              <w:spacing w:after="0" w:line="276" w:lineRule="auto"/>
            </w:pPr>
            <w:r>
              <w:t>5</w:t>
            </w:r>
          </w:p>
        </w:tc>
        <w:tc>
          <w:tcPr>
            <w:tcW w:type="dxa" w:w="538"/>
          </w:tcPr>
          <w:p>
            <w:pPr>
              <w:spacing w:after="0" w:line="276" w:lineRule="auto"/>
            </w:pPr>
            <w:r>
              <w:t>16-18</w:t>
            </w:r>
          </w:p>
        </w:tc>
        <w:tc>
          <w:tcPr>
            <w:tcW w:type="dxa" w:w="3092"/>
          </w:tcPr>
          <w:p>
            <w:pPr>
              <w:spacing w:after="0" w:line="276" w:lineRule="auto"/>
            </w:pPr>
            <w:r>
              <w:t>Installation of Batch 4 and delivery of Batch 5 (50 units)</w:t>
            </w:r>
          </w:p>
        </w:tc>
        <w:tc>
          <w:tcPr>
            <w:tcW w:type="dxa" w:w="2151"/>
          </w:tcPr>
          <w:p>
            <w:pPr>
              <w:spacing w:after="0" w:line="276" w:lineRule="auto"/>
            </w:pPr>
            <w:r>
              <w:t>Gilgil</w:t>
            </w:r>
          </w:p>
        </w:tc>
        <w:tc>
          <w:tcPr>
            <w:tcW w:type="dxa" w:w="3092"/>
          </w:tcPr>
          <w:p>
            <w:pPr>
              <w:spacing w:after="0" w:line="276" w:lineRule="auto"/>
            </w:pPr>
            <w:r>
              <w:t>Joint inspection and sign-off of Batch 5 (50 units)</w:t>
            </w:r>
          </w:p>
        </w:tc>
      </w:tr>
      <w:tr>
        <w:tc>
          <w:tcPr>
            <w:tcW w:type="dxa" w:w="538"/>
          </w:tcPr>
          <w:p>
            <w:pPr>
              <w:spacing w:after="0" w:line="276" w:lineRule="auto"/>
            </w:pPr>
            <w:r>
              <w:t>6</w:t>
            </w:r>
          </w:p>
        </w:tc>
        <w:tc>
          <w:tcPr>
            <w:tcW w:type="dxa" w:w="538"/>
          </w:tcPr>
          <w:p>
            <w:pPr>
              <w:spacing w:after="0" w:line="276" w:lineRule="auto"/>
            </w:pPr>
            <w:r>
              <w:t>19-21</w:t>
            </w:r>
          </w:p>
        </w:tc>
        <w:tc>
          <w:tcPr>
            <w:tcW w:type="dxa" w:w="3092"/>
          </w:tcPr>
          <w:p>
            <w:pPr>
              <w:spacing w:after="0" w:line="276" w:lineRule="auto"/>
            </w:pPr>
            <w:r>
              <w:t>Installation of Batch 5 and Batch 6 (50 units), final snagging, and handover</w:t>
            </w:r>
          </w:p>
        </w:tc>
        <w:tc>
          <w:tcPr>
            <w:tcW w:type="dxa" w:w="2151"/>
          </w:tcPr>
          <w:p>
            <w:pPr>
              <w:spacing w:after="0" w:line="276" w:lineRule="auto"/>
            </w:pPr>
            <w:r>
              <w:t>Gilgil and county-wide closeout</w:t>
            </w:r>
          </w:p>
        </w:tc>
        <w:tc>
          <w:tcPr>
            <w:tcW w:type="dxa" w:w="3092"/>
          </w:tcPr>
          <w:p>
            <w:pPr>
              <w:spacing w:after="0" w:line="276" w:lineRule="auto"/>
            </w:pPr>
            <w:r>
              <w:t>Final joint inspection, sign-off of Batch 6 (50 units), and certificate of completion</w:t>
            </w:r>
          </w:p>
        </w:tc>
      </w:tr>
    </w:tbl>
    <w:p>
      <w:pPr>
        <w:spacing w:after="0"/>
      </w:pPr>
    </w:p>
    <w:p>
      <w:r>
        <w:t>Transport logistics will use covered 7-tonne trucks departing from the Kazi Bora Builders Ltd workshop in Nakuru, with each truck carrying a maximum of 50 flat-packed desk units to protect finishes during transit. Deliveries will be scheduled for early morning to avoid peak school hours. Where a centre has limited vehicle access, a smaller 3-tonne vehicle will be used for the final approach.</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Weather and Access Contingency.</w:t>
            </w:r>
            <w:r>
              <w:t xml:space="preserve"> </w:t>
            </w:r>
            <w:r>
              <w:t>The 21-day programme includes two float days within the installation window to absorb rain delays or centre access changes. If a centre becomes inaccessible, the affected batch will be resequenced to the next available centre and the county notified within 24 hours. Confirm the county's preferred notification contact and any seasonal access restrictions before submission.</w:t>
            </w:r>
          </w:p>
        </w:tc>
      </w:tr>
    </w:tbl>
    <w:p>
      <w:pPr>
        <w:spacing w:after="40"/>
      </w:pPr>
    </w:p>
    <w:tbl>
      <w:tblPr>
        <w:tblW w:type="auto" w:w="0"/>
        <w:tblLook w:firstColumn="1" w:firstRow="1" w:lastColumn="0" w:lastRow="0" w:noHBand="0" w:noVBand="1" w:val="04A0"/>
      </w:tblPr>
      <w:tblGrid>
        <w:gridCol w:w="2436"/>
        <w:gridCol w:w="2436"/>
        <w:gridCol w:w="2436"/>
        <w:gridCol w:w="2436"/>
      </w:tblGrid>
      <w:tr>
        <w:tc>
          <w:tcPr>
            <w:tcW w:type="dxa" w:w="2436"/>
            <w:shd w:val="clear" w:color="auto" w:fill="EFF1F3"/>
            <w:tcBorders>
              <w:top w:val="single" w:sz="18" w:color="1F3A5F"/>
              <w:left w:val="nil"/>
              <w:bottom w:val="nil"/>
              <w:right w:val="nil"/>
            </w:tcBorders>
          </w:tcPr>
          <w:p>
            <w:pPr>
              <w:spacing w:after="0"/>
            </w:pPr>
            <w:r>
              <w:rPr>
                <w:b/>
                <w:color w:val="1F3A5F"/>
                <w:sz w:val="36"/>
              </w:rPr>
              <w:t>300</w:t>
            </w:r>
          </w:p>
          <w:p>
            <w:r>
              <w:rPr>
                <w:b/>
                <w:sz w:val="19"/>
              </w:rPr>
              <w:t>Total desks</w:t>
            </w:r>
          </w:p>
          <w:p>
            <w:r>
              <w:rPr>
                <w:color w:val="6B7280"/>
                <w:sz w:val="17"/>
              </w:rPr>
              <w:t>Ergonomic ECDE classroom desks</w:t>
            </w:r>
          </w:p>
        </w:tc>
        <w:tc>
          <w:tcPr>
            <w:tcW w:type="dxa" w:w="2436"/>
            <w:shd w:val="clear" w:color="auto" w:fill="EFF1F3"/>
            <w:tcBorders>
              <w:top w:val="single" w:sz="18" w:color="1F3A5F"/>
              <w:left w:val="nil"/>
              <w:bottom w:val="nil"/>
              <w:right w:val="nil"/>
            </w:tcBorders>
          </w:tcPr>
          <w:p>
            <w:pPr>
              <w:spacing w:after="0"/>
            </w:pPr>
            <w:r>
              <w:rPr>
                <w:b/>
                <w:color w:val="1F3A5F"/>
                <w:sz w:val="36"/>
              </w:rPr>
              <w:t>21 days</w:t>
            </w:r>
          </w:p>
          <w:p>
            <w:r>
              <w:rPr>
                <w:b/>
                <w:sz w:val="19"/>
              </w:rPr>
              <w:t>Contract period</w:t>
            </w:r>
          </w:p>
          <w:p>
            <w:r>
              <w:rPr>
                <w:color w:val="6B7280"/>
                <w:sz w:val="17"/>
              </w:rPr>
              <w:t>Indicative estimate from contract signing</w:t>
            </w:r>
          </w:p>
        </w:tc>
        <w:tc>
          <w:tcPr>
            <w:tcW w:type="dxa" w:w="2436"/>
            <w:shd w:val="clear" w:color="auto" w:fill="EFF1F3"/>
            <w:tcBorders>
              <w:top w:val="single" w:sz="18" w:color="1F3A5F"/>
              <w:left w:val="nil"/>
              <w:bottom w:val="nil"/>
              <w:right w:val="nil"/>
            </w:tcBorders>
          </w:tcPr>
          <w:p>
            <w:pPr>
              <w:spacing w:after="0"/>
            </w:pPr>
            <w:r>
              <w:rPr>
                <w:b/>
                <w:color w:val="1F3A5F"/>
                <w:sz w:val="36"/>
              </w:rPr>
              <w:t>50 units</w:t>
            </w:r>
          </w:p>
          <w:p>
            <w:r>
              <w:rPr>
                <w:b/>
                <w:sz w:val="19"/>
              </w:rPr>
              <w:t>Batch size</w:t>
            </w:r>
          </w:p>
          <w:p>
            <w:r>
              <w:rPr>
                <w:color w:val="6B7280"/>
                <w:sz w:val="17"/>
              </w:rPr>
              <w:t>Six batches with verification sign-off per batch</w:t>
            </w:r>
          </w:p>
        </w:tc>
        <w:tc>
          <w:tcPr>
            <w:tcW w:type="dxa" w:w="2436"/>
            <w:shd w:val="clear" w:color="auto" w:fill="EFF1F3"/>
            <w:tcBorders>
              <w:top w:val="single" w:sz="18" w:color="1F3A5F"/>
              <w:left w:val="nil"/>
              <w:bottom w:val="nil"/>
              <w:right w:val="nil"/>
            </w:tcBorders>
          </w:tcPr>
          <w:p>
            <w:pPr>
              <w:spacing w:after="0"/>
            </w:pPr>
            <w:r>
              <w:rPr>
                <w:b/>
                <w:color w:val="1F3A5F"/>
                <w:sz w:val="36"/>
              </w:rPr>
              <w:t>3</w:t>
            </w:r>
          </w:p>
          <w:p>
            <w:r>
              <w:rPr>
                <w:b/>
                <w:sz w:val="19"/>
              </w:rPr>
              <w:t>Sub-counties covered</w:t>
            </w:r>
          </w:p>
          <w:p>
            <w:r>
              <w:rPr>
                <w:color w:val="6B7280"/>
                <w:sz w:val="17"/>
              </w:rPr>
              <w:t>Nakuru Town East, Nakuru West, and Gilgil (indicative)</w:t>
            </w:r>
          </w:p>
        </w:tc>
      </w:tr>
    </w:tbl>
    <w:p>
      <w:pPr>
        <w:spacing w:after="40"/>
      </w:pPr>
    </w:p>
    <w:p>
      <w:r>
        <w:t>Each batch will be inspected jointly by the Kazi Bora Builders Ltd Site Supervisor and the county's designated officer before sign-off. The inspection will cover desk dimensions, finish quality, stability, and count. Any defects identified will be corrected within 48 hours at no additional cost.</w:t>
      </w:r>
    </w:p>
    <w:p>
      <w:pPr>
        <w:pStyle w:val="Heading2"/>
      </w:pPr>
      <w:r>
        <w:t>Three-Year Comprehensive Warranty Covering Materials, Workmanship, and Structural Integrity</w:t>
      </w:r>
    </w:p>
    <w:p>
      <w:r>
        <w:t>Kazi Bora Builders Ltd provides a three-year comprehensive warranty on all 300 ergonomic classroom desks supplied and installed under this tender. The warranty covers defects in materials, workmanship, and structural integrity, including frame joints, desk tops, seating components, and all fixing hardware. This warranty is issued in conformity with Section 87 of the Public Procurement and Asset Disposal Act, 2015 and Regulation 112 of the PPADA Regulations, 2022.</w:t>
      </w:r>
    </w:p>
    <w:p>
      <w:r>
        <w:t>Claims may be lodged in writing to our Nakuru office or by telephone, and we shall acknowledge every claim within two working days. A qualified technician will inspect the affected desk at the ECDE centre within seven working days of acknowledgement. Where a defect is confirmed, Kazi Bora Builders Ltd will repair or replace the item at no cost to the County, including transport and labour.</w:t>
      </w:r>
    </w:p>
    <w:p>
      <w:r>
        <w:t>The warranty excludes damage from vandalism, misuse, or unauthorised modification. A warranty certificate will be issued upon completion and signed off by the County's authorised officer.</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Warranty Note.</w:t>
            </w:r>
            <w:r>
              <w:t xml:space="preserve"> </w:t>
            </w:r>
            <w:r>
              <w:t>The three-year warranty period begins on the date of the final installation sign-off by the County's authorised officer. Confirm the preferred sign-off date and any centre-specific access conditions before mobilisation.</w:t>
            </w:r>
          </w:p>
        </w:tc>
      </w:tr>
    </w:tbl>
    <w:p>
      <w:pPr>
        <w:spacing w:after="40"/>
      </w:pPr>
    </w:p>
    <w:p>
      <w:pPr>
        <w:pStyle w:val="Heading2"/>
      </w:pPr>
      <w:r>
        <w:t>Dedicated Nakuru-Based Project Execution Team with ECDE Infrastructure Experience</w:t>
      </w:r>
    </w:p>
    <w:p>
      <w:r>
        <w:t>Kazi Bora Builders Ltd will deliver this contract through a dedicated, Nakuru-based team of three core roles supported by the company's workshop and administrative staff. The team is structured so that production supervision, county logistics, and quality assurance are held by separate individuals, giving the County an independent check on every batch of 50 desks. All core personnel will be resident in Nakuru County for the contract period, and the Site Supervisor will be the County's single point of contact for site access, installation windows, and sign-off.</w:t>
      </w:r>
    </w:p>
    <w:p>
      <w:pPr>
        <w:pStyle w:val="Heading3"/>
      </w:pPr>
      <w:r>
        <w:t>Core Project Roles and Responsibilities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256"/>
        <w:gridCol w:w="3578"/>
        <w:gridCol w:w="3578"/>
      </w:tblGrid>
      <w:tr>
        <w:trPr>
          <w:tblHeader w:val="true"/>
          <w:cantSplit/>
        </w:trPr>
        <w:tc>
          <w:tcPr>
            <w:tcW w:type="dxa" w:w="2256"/>
            <w:shd w:val="clear" w:color="auto" w:fill="DFE3E8"/>
          </w:tcPr>
          <w:p>
            <w:pPr>
              <w:spacing w:after="0" w:line="276" w:lineRule="auto"/>
            </w:pPr>
            <w:r>
              <w:rPr>
                <w:b/>
              </w:rPr>
              <w:t>Role</w:t>
            </w:r>
          </w:p>
        </w:tc>
        <w:tc>
          <w:tcPr>
            <w:tcW w:type="dxa" w:w="3578"/>
            <w:shd w:val="clear" w:color="auto" w:fill="DFE3E8"/>
          </w:tcPr>
          <w:p>
            <w:pPr>
              <w:spacing w:after="0" w:line="276" w:lineRule="auto"/>
            </w:pPr>
            <w:r>
              <w:rPr>
                <w:b/>
              </w:rPr>
              <w:t>Key Responsibilities</w:t>
            </w:r>
          </w:p>
        </w:tc>
        <w:tc>
          <w:tcPr>
            <w:tcW w:type="dxa" w:w="3578"/>
            <w:shd w:val="clear" w:color="auto" w:fill="DFE3E8"/>
          </w:tcPr>
          <w:p>
            <w:pPr>
              <w:spacing w:after="0" w:line="276" w:lineRule="auto"/>
            </w:pPr>
            <w:r>
              <w:rPr>
                <w:b/>
              </w:rPr>
              <w:t>Indicative Qualifications and Experience</w:t>
            </w:r>
          </w:p>
        </w:tc>
      </w:tr>
      <w:tr>
        <w:tc>
          <w:tcPr>
            <w:tcW w:type="dxa" w:w="2256"/>
          </w:tcPr>
          <w:p>
            <w:pPr>
              <w:spacing w:after="0" w:line="276" w:lineRule="auto"/>
            </w:pPr>
            <w:r>
              <w:t>Site Supervisor (1)</w:t>
            </w:r>
          </w:p>
        </w:tc>
        <w:tc>
          <w:tcPr>
            <w:tcW w:type="dxa" w:w="3578"/>
          </w:tcPr>
          <w:p>
            <w:pPr>
              <w:spacing w:after="0" w:line="276" w:lineRule="auto"/>
            </w:pPr>
            <w:r>
              <w:t>Single point of contact for the County; coordinates centre access windows with ECDE centre heads; supervises installation crews; signs batch completion certificates; maintains the site instruction register.</w:t>
            </w:r>
          </w:p>
        </w:tc>
        <w:tc>
          <w:tcPr>
            <w:tcW w:type="dxa" w:w="3578"/>
          </w:tcPr>
          <w:p>
            <w:pPr>
              <w:spacing w:after="0" w:line="276" w:lineRule="auto"/>
            </w:pPr>
            <w:r>
              <w:t>Diploma or higher in building construction, carpentry and joinery, or a related trade; minimum five years supervising furniture installation or county fit-out works; demonstrated experience working with school or ECDE sites.</w:t>
            </w:r>
          </w:p>
        </w:tc>
      </w:tr>
      <w:tr>
        <w:tc>
          <w:tcPr>
            <w:tcW w:type="dxa" w:w="2256"/>
          </w:tcPr>
          <w:p>
            <w:pPr>
              <w:spacing w:after="0" w:line="276" w:lineRule="auto"/>
            </w:pPr>
            <w:r>
              <w:t>Logistics Coordinator (1)</w:t>
            </w:r>
          </w:p>
        </w:tc>
        <w:tc>
          <w:tcPr>
            <w:tcW w:type="dxa" w:w="3578"/>
          </w:tcPr>
          <w:p>
            <w:pPr>
              <w:spacing w:after="0" w:line="276" w:lineRule="auto"/>
            </w:pPr>
            <w:r>
              <w:t>Plans and tracks transport of desks and hardware from the workshop to each ECDE centre; manages loading, offloading, and on-site storage; maintains delivery notes and batch tracking records; coordinates with sub-county education officers.</w:t>
            </w:r>
          </w:p>
        </w:tc>
        <w:tc>
          <w:tcPr>
            <w:tcW w:type="dxa" w:w="3578"/>
          </w:tcPr>
          <w:p>
            <w:pPr>
              <w:spacing w:after="0" w:line="276" w:lineRule="auto"/>
            </w:pPr>
            <w:r>
              <w:t>Diploma in supply chain, transport, or business administration, or equivalent experience; minimum three years in county or institutional goods delivery in Nakuru County.</w:t>
            </w:r>
          </w:p>
        </w:tc>
      </w:tr>
      <w:tr>
        <w:tc>
          <w:tcPr>
            <w:tcW w:type="dxa" w:w="2256"/>
          </w:tcPr>
          <w:p>
            <w:pPr>
              <w:spacing w:after="0" w:line="276" w:lineRule="auto"/>
            </w:pPr>
            <w:r>
              <w:t>Quality Assurance Officer (1)</w:t>
            </w:r>
          </w:p>
        </w:tc>
        <w:tc>
          <w:tcPr>
            <w:tcW w:type="dxa" w:w="3578"/>
          </w:tcPr>
          <w:p>
            <w:pPr>
              <w:spacing w:after="0" w:line="276" w:lineRule="auto"/>
            </w:pPr>
            <w:r>
              <w:t>Inspects incoming timber, plywood, and hardware against specification; checks dimensions, edge finishing, and joint strength at pre-delivery and on-site stages; maintains the inspection and non-conformance register; releases each batch of 50 units for delivery.</w:t>
            </w:r>
          </w:p>
        </w:tc>
        <w:tc>
          <w:tcPr>
            <w:tcW w:type="dxa" w:w="3578"/>
          </w:tcPr>
          <w:p>
            <w:pPr>
              <w:spacing w:after="0" w:line="276" w:lineRule="auto"/>
            </w:pPr>
            <w:r>
              <w:t>Diploma or degree in wood technology, construction management, or a related field; minimum three years in furniture or construction quality control; familiarity with KEBS furniture standards.</w:t>
            </w:r>
          </w:p>
        </w:tc>
      </w:tr>
    </w:tbl>
    <w:p>
      <w:pPr>
        <w:spacing w:after="0"/>
      </w:pPr>
    </w:p>
    <w:p>
      <w:pPr>
        <w:pStyle w:val="Heading3"/>
      </w:pPr>
      <w:r>
        <w:t>Relevant Experience and Community Engagement Protocols</w:t>
      </w:r>
    </w:p>
    <w:p>
      <w:r>
        <w:t>The proposed team has been assembled for prior county-funded furniture and fit-out works in Nakuru County, including school and ECDE furniture supply. The team applies documented community engagement protocols on all county sites: advance notice to centre heads before each delivery window, installation scheduling that avoids disrupting ECDE class hours, a grievance register held at each centre, and a handover briefing for centre staff on desk adjustment and care. These protocols are standard practice for Kazi Bora Builders Ltd and will be applied without additional cost to the County.</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Team Availability and Substitution.</w:t>
            </w:r>
            <w:r>
              <w:t xml:space="preserve"> </w:t>
            </w:r>
            <w:r>
              <w:t>All three core roles will be dedicated to this contract for its full duration. Any proposed substitution of a named individual will be submitted to the County in writing with equivalent or better qualifications for approval before the replacement takes up duty. Confirm the names and CVs of proposed personnel at contract award.</w:t>
            </w:r>
          </w:p>
        </w:tc>
      </w:tr>
    </w:tbl>
    <w:p>
      <w:pPr>
        <w:spacing w:after="40"/>
      </w:pPr>
    </w:p>
    <w:p>
      <w:pPr>
        <w:pStyle w:val="Heading2"/>
      </w:pPr>
      <w:r>
        <w:t>Priced Bill of Quantities in Kenyan Shillings (KES) with Itemised Cost Breakdown</w:t>
      </w:r>
    </w:p>
    <w:p>
      <w:r>
        <w:t>This Bill of Quantities is structured in accordance with the Kenya National Treasury Standard Form PPA-BoQ-01 and presents a transparent, tax-inclusive breakdown of all costs for the supply and installation of 300 ergonomic classroom desks for ECDE centres in Nakuru County. All figures are indicative estimates based on current market rates for locally sourced materials and labour in Nakuru County.</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818"/>
        <w:gridCol w:w="4706"/>
        <w:gridCol w:w="818"/>
        <w:gridCol w:w="818"/>
        <w:gridCol w:w="1023"/>
        <w:gridCol w:w="1228"/>
      </w:tblGrid>
      <w:tr>
        <w:trPr>
          <w:tblHeader w:val="true"/>
          <w:cantSplit/>
        </w:trPr>
        <w:tc>
          <w:tcPr>
            <w:tcW w:type="dxa" w:w="818"/>
            <w:shd w:val="clear" w:color="auto" w:fill="DFE3E8"/>
          </w:tcPr>
          <w:p>
            <w:pPr>
              <w:spacing w:after="0" w:line="276" w:lineRule="auto"/>
            </w:pPr>
            <w:r>
              <w:rPr>
                <w:b/>
              </w:rPr>
              <w:t>Item No.</w:t>
            </w:r>
          </w:p>
        </w:tc>
        <w:tc>
          <w:tcPr>
            <w:tcW w:type="dxa" w:w="4706"/>
            <w:shd w:val="clear" w:color="auto" w:fill="DFE3E8"/>
          </w:tcPr>
          <w:p>
            <w:pPr>
              <w:spacing w:after="0" w:line="276" w:lineRule="auto"/>
            </w:pPr>
            <w:r>
              <w:rPr>
                <w:b/>
              </w:rPr>
              <w:t>Description</w:t>
            </w:r>
          </w:p>
        </w:tc>
        <w:tc>
          <w:tcPr>
            <w:tcW w:type="dxa" w:w="818"/>
            <w:shd w:val="clear" w:color="auto" w:fill="DFE3E8"/>
          </w:tcPr>
          <w:p>
            <w:pPr>
              <w:spacing w:after="0" w:line="276" w:lineRule="auto"/>
            </w:pPr>
            <w:r>
              <w:rPr>
                <w:b/>
              </w:rPr>
              <w:t>Unit</w:t>
            </w:r>
          </w:p>
        </w:tc>
        <w:tc>
          <w:tcPr>
            <w:tcW w:type="dxa" w:w="818"/>
            <w:shd w:val="clear" w:color="auto" w:fill="DFE3E8"/>
          </w:tcPr>
          <w:p>
            <w:pPr>
              <w:spacing w:after="0" w:line="276" w:lineRule="auto"/>
            </w:pPr>
            <w:r>
              <w:rPr>
                <w:b/>
              </w:rPr>
              <w:t>Quantity</w:t>
            </w:r>
          </w:p>
        </w:tc>
        <w:tc>
          <w:tcPr>
            <w:tcW w:type="dxa" w:w="1023"/>
            <w:shd w:val="clear" w:color="auto" w:fill="DFE3E8"/>
          </w:tcPr>
          <w:p>
            <w:pPr>
              <w:spacing w:after="0" w:line="276" w:lineRule="auto"/>
            </w:pPr>
            <w:r>
              <w:rPr>
                <w:b/>
              </w:rPr>
              <w:t>Rate (KES)</w:t>
            </w:r>
          </w:p>
        </w:tc>
        <w:tc>
          <w:tcPr>
            <w:tcW w:type="dxa" w:w="1228"/>
            <w:shd w:val="clear" w:color="auto" w:fill="DFE3E8"/>
          </w:tcPr>
          <w:p>
            <w:pPr>
              <w:spacing w:after="0" w:line="276" w:lineRule="auto"/>
            </w:pPr>
            <w:r>
              <w:rPr>
                <w:b/>
              </w:rPr>
              <w:t>Amount (KES)</w:t>
            </w:r>
          </w:p>
        </w:tc>
      </w:tr>
      <w:tr>
        <w:tc>
          <w:tcPr>
            <w:tcW w:type="dxa" w:w="818"/>
          </w:tcPr>
          <w:p>
            <w:pPr>
              <w:spacing w:after="0" w:line="276" w:lineRule="auto"/>
            </w:pPr>
            <w:r>
              <w:t>1</w:t>
            </w:r>
          </w:p>
        </w:tc>
        <w:tc>
          <w:tcPr>
            <w:tcW w:type="dxa" w:w="4706"/>
          </w:tcPr>
          <w:p>
            <w:pPr>
              <w:spacing w:after="0" w:line="276" w:lineRule="auto"/>
            </w:pPr>
            <w:r>
              <w:t>Supply of ergonomic ECDE classroom desks (EN 1729-compliant, locally sourced pine and birch plywood, KEBS KS 2262:2021 certified)</w:t>
            </w:r>
          </w:p>
        </w:tc>
        <w:tc>
          <w:tcPr>
            <w:tcW w:type="dxa" w:w="818"/>
          </w:tcPr>
          <w:p>
            <w:pPr>
              <w:spacing w:after="0" w:line="276" w:lineRule="auto"/>
            </w:pPr>
            <w:r>
              <w:t>No.</w:t>
            </w:r>
          </w:p>
        </w:tc>
        <w:tc>
          <w:tcPr>
            <w:tcW w:type="dxa" w:w="818"/>
          </w:tcPr>
          <w:p>
            <w:pPr>
              <w:spacing w:after="0" w:line="276" w:lineRule="auto"/>
              <w:jc w:val="right"/>
            </w:pPr>
            <w:r>
              <w:t>300</w:t>
            </w:r>
          </w:p>
        </w:tc>
        <w:tc>
          <w:tcPr>
            <w:tcW w:type="dxa" w:w="1023"/>
          </w:tcPr>
          <w:p>
            <w:pPr>
              <w:spacing w:after="0" w:line="276" w:lineRule="auto"/>
              <w:jc w:val="right"/>
            </w:pPr>
            <w:r>
              <w:t>8,500</w:t>
            </w:r>
          </w:p>
        </w:tc>
        <w:tc>
          <w:tcPr>
            <w:tcW w:type="dxa" w:w="1228"/>
          </w:tcPr>
          <w:p>
            <w:pPr>
              <w:spacing w:after="0" w:line="276" w:lineRule="auto"/>
              <w:jc w:val="right"/>
            </w:pPr>
            <w:r>
              <w:t>2,550,000</w:t>
            </w:r>
          </w:p>
        </w:tc>
      </w:tr>
      <w:tr>
        <w:tc>
          <w:tcPr>
            <w:tcW w:type="dxa" w:w="818"/>
          </w:tcPr>
          <w:p>
            <w:pPr>
              <w:spacing w:after="0" w:line="276" w:lineRule="auto"/>
            </w:pPr>
            <w:r>
              <w:t>2</w:t>
            </w:r>
          </w:p>
        </w:tc>
        <w:tc>
          <w:tcPr>
            <w:tcW w:type="dxa" w:w="4706"/>
          </w:tcPr>
          <w:p>
            <w:pPr>
              <w:spacing w:after="0" w:line="276" w:lineRule="auto"/>
            </w:pPr>
            <w:r>
              <w:t>Ancillary hardware (corrosion-resistant bolts, brackets, edge protectors, and adjustable feet)</w:t>
            </w:r>
          </w:p>
        </w:tc>
        <w:tc>
          <w:tcPr>
            <w:tcW w:type="dxa" w:w="818"/>
          </w:tcPr>
          <w:p>
            <w:pPr>
              <w:spacing w:after="0" w:line="276" w:lineRule="auto"/>
            </w:pPr>
            <w:r>
              <w:t>Set</w:t>
            </w:r>
          </w:p>
        </w:tc>
        <w:tc>
          <w:tcPr>
            <w:tcW w:type="dxa" w:w="818"/>
          </w:tcPr>
          <w:p>
            <w:pPr>
              <w:spacing w:after="0" w:line="276" w:lineRule="auto"/>
              <w:jc w:val="right"/>
            </w:pPr>
            <w:r>
              <w:t>300</w:t>
            </w:r>
          </w:p>
        </w:tc>
        <w:tc>
          <w:tcPr>
            <w:tcW w:type="dxa" w:w="1023"/>
          </w:tcPr>
          <w:p>
            <w:pPr>
              <w:spacing w:after="0" w:line="276" w:lineRule="auto"/>
              <w:jc w:val="right"/>
            </w:pPr>
            <w:r>
              <w:t>450</w:t>
            </w:r>
          </w:p>
        </w:tc>
        <w:tc>
          <w:tcPr>
            <w:tcW w:type="dxa" w:w="1228"/>
          </w:tcPr>
          <w:p>
            <w:pPr>
              <w:spacing w:after="0" w:line="276" w:lineRule="auto"/>
              <w:jc w:val="right"/>
            </w:pPr>
            <w:r>
              <w:t>135,000</w:t>
            </w:r>
          </w:p>
        </w:tc>
      </w:tr>
      <w:tr>
        <w:tc>
          <w:tcPr>
            <w:tcW w:type="dxa" w:w="818"/>
          </w:tcPr>
          <w:p>
            <w:pPr>
              <w:spacing w:after="0" w:line="276" w:lineRule="auto"/>
            </w:pPr>
            <w:r>
              <w:t>3</w:t>
            </w:r>
          </w:p>
        </w:tc>
        <w:tc>
          <w:tcPr>
            <w:tcW w:type="dxa" w:w="4706"/>
          </w:tcPr>
          <w:p>
            <w:pPr>
              <w:spacing w:after="0" w:line="276" w:lineRule="auto"/>
            </w:pPr>
            <w:r>
              <w:t>Transport and logistics to ECDE centres across Nakuru County (three sub-counties)</w:t>
            </w:r>
          </w:p>
        </w:tc>
        <w:tc>
          <w:tcPr>
            <w:tcW w:type="dxa" w:w="818"/>
          </w:tcPr>
          <w:p>
            <w:pPr>
              <w:spacing w:after="0" w:line="276" w:lineRule="auto"/>
            </w:pPr>
            <w:r>
              <w:t>Trip</w:t>
            </w:r>
          </w:p>
        </w:tc>
        <w:tc>
          <w:tcPr>
            <w:tcW w:type="dxa" w:w="818"/>
          </w:tcPr>
          <w:p>
            <w:pPr>
              <w:spacing w:after="0" w:line="276" w:lineRule="auto"/>
              <w:jc w:val="right"/>
            </w:pPr>
            <w:r>
              <w:t>12</w:t>
            </w:r>
          </w:p>
        </w:tc>
        <w:tc>
          <w:tcPr>
            <w:tcW w:type="dxa" w:w="1023"/>
          </w:tcPr>
          <w:p>
            <w:pPr>
              <w:spacing w:after="0" w:line="276" w:lineRule="auto"/>
              <w:jc w:val="right"/>
            </w:pPr>
            <w:r>
              <w:t>18,000</w:t>
            </w:r>
          </w:p>
        </w:tc>
        <w:tc>
          <w:tcPr>
            <w:tcW w:type="dxa" w:w="1228"/>
          </w:tcPr>
          <w:p>
            <w:pPr>
              <w:spacing w:after="0" w:line="276" w:lineRule="auto"/>
              <w:jc w:val="right"/>
            </w:pPr>
            <w:r>
              <w:t>216,000</w:t>
            </w:r>
          </w:p>
        </w:tc>
      </w:tr>
      <w:tr>
        <w:tc>
          <w:tcPr>
            <w:tcW w:type="dxa" w:w="818"/>
          </w:tcPr>
          <w:p>
            <w:pPr>
              <w:spacing w:after="0" w:line="276" w:lineRule="auto"/>
            </w:pPr>
            <w:r>
              <w:t>4</w:t>
            </w:r>
          </w:p>
        </w:tc>
        <w:tc>
          <w:tcPr>
            <w:tcW w:type="dxa" w:w="4706"/>
          </w:tcPr>
          <w:p>
            <w:pPr>
              <w:spacing w:after="0" w:line="276" w:lineRule="auto"/>
            </w:pPr>
            <w:r>
              <w:t>Installation labour (on-site assembly and placement)</w:t>
            </w:r>
          </w:p>
        </w:tc>
        <w:tc>
          <w:tcPr>
            <w:tcW w:type="dxa" w:w="818"/>
          </w:tcPr>
          <w:p>
            <w:pPr>
              <w:spacing w:after="0" w:line="276" w:lineRule="auto"/>
            </w:pPr>
            <w:r>
              <w:t>No.</w:t>
            </w:r>
          </w:p>
        </w:tc>
        <w:tc>
          <w:tcPr>
            <w:tcW w:type="dxa" w:w="818"/>
          </w:tcPr>
          <w:p>
            <w:pPr>
              <w:spacing w:after="0" w:line="276" w:lineRule="auto"/>
              <w:jc w:val="right"/>
            </w:pPr>
            <w:r>
              <w:t>300</w:t>
            </w:r>
          </w:p>
        </w:tc>
        <w:tc>
          <w:tcPr>
            <w:tcW w:type="dxa" w:w="1023"/>
          </w:tcPr>
          <w:p>
            <w:pPr>
              <w:spacing w:after="0" w:line="276" w:lineRule="auto"/>
              <w:jc w:val="right"/>
            </w:pPr>
            <w:r>
              <w:t>350</w:t>
            </w:r>
          </w:p>
        </w:tc>
        <w:tc>
          <w:tcPr>
            <w:tcW w:type="dxa" w:w="1228"/>
          </w:tcPr>
          <w:p>
            <w:pPr>
              <w:spacing w:after="0" w:line="276" w:lineRule="auto"/>
              <w:jc w:val="right"/>
            </w:pPr>
            <w:r>
              <w:t>105,000</w:t>
            </w:r>
          </w:p>
        </w:tc>
      </w:tr>
      <w:tr>
        <w:tc>
          <w:tcPr>
            <w:tcW w:type="dxa" w:w="818"/>
          </w:tcPr>
          <w:p>
            <w:pPr>
              <w:spacing w:after="0" w:line="276" w:lineRule="auto"/>
            </w:pPr>
            <w:r>
              <w:t>5</w:t>
            </w:r>
          </w:p>
        </w:tc>
        <w:tc>
          <w:tcPr>
            <w:tcW w:type="dxa" w:w="4706"/>
          </w:tcPr>
          <w:p>
            <w:pPr>
              <w:spacing w:after="0" w:line="276" w:lineRule="auto"/>
            </w:pPr>
            <w:r>
              <w:t>Project supervision and quality assurance</w:t>
            </w:r>
          </w:p>
        </w:tc>
        <w:tc>
          <w:tcPr>
            <w:tcW w:type="dxa" w:w="818"/>
          </w:tcPr>
          <w:p>
            <w:pPr>
              <w:spacing w:after="0" w:line="276" w:lineRule="auto"/>
            </w:pPr>
            <w:r>
              <w:t>Month</w:t>
            </w:r>
          </w:p>
        </w:tc>
        <w:tc>
          <w:tcPr>
            <w:tcW w:type="dxa" w:w="818"/>
          </w:tcPr>
          <w:p>
            <w:pPr>
              <w:spacing w:after="0" w:line="276" w:lineRule="auto"/>
              <w:jc w:val="right"/>
            </w:pPr>
            <w:r>
              <w:t>1</w:t>
            </w:r>
          </w:p>
        </w:tc>
        <w:tc>
          <w:tcPr>
            <w:tcW w:type="dxa" w:w="1023"/>
          </w:tcPr>
          <w:p>
            <w:pPr>
              <w:spacing w:after="0" w:line="276" w:lineRule="auto"/>
              <w:jc w:val="right"/>
            </w:pPr>
            <w:r>
              <w:t>85,000</w:t>
            </w:r>
          </w:p>
        </w:tc>
        <w:tc>
          <w:tcPr>
            <w:tcW w:type="dxa" w:w="1228"/>
          </w:tcPr>
          <w:p>
            <w:pPr>
              <w:spacing w:after="0" w:line="276" w:lineRule="auto"/>
              <w:jc w:val="right"/>
            </w:pPr>
            <w:r>
              <w:t>85,000</w:t>
            </w:r>
          </w:p>
        </w:tc>
      </w:tr>
      <w:tr>
        <w:tc>
          <w:tcPr>
            <w:tcW w:type="dxa" w:w="818"/>
          </w:tcPr>
          <w:p>
            <w:pPr>
              <w:spacing w:after="0" w:line="276" w:lineRule="auto"/>
            </w:pPr>
            <w:r>
              <w:t>6</w:t>
            </w:r>
          </w:p>
        </w:tc>
        <w:tc>
          <w:tcPr>
            <w:tcW w:type="dxa" w:w="4706"/>
          </w:tcPr>
          <w:p>
            <w:pPr>
              <w:spacing w:after="0" w:line="276" w:lineRule="auto"/>
            </w:pPr>
            <w:r>
              <w:t>Subtotal (Items 1-5)</w:t>
            </w:r>
          </w:p>
        </w:tc>
        <w:tc>
          <w:tcPr>
            <w:tcW w:type="dxa" w:w="818"/>
          </w:tcPr>
          <w:p>
            <w:pPr>
              <w:spacing w:after="0" w:line="276" w:lineRule="auto"/>
            </w:pPr>
            <w:r/>
          </w:p>
        </w:tc>
        <w:tc>
          <w:tcPr>
            <w:tcW w:type="dxa" w:w="818"/>
          </w:tcPr>
          <w:p>
            <w:pPr>
              <w:spacing w:after="0" w:line="276" w:lineRule="auto"/>
            </w:pPr>
            <w:r/>
          </w:p>
        </w:tc>
        <w:tc>
          <w:tcPr>
            <w:tcW w:type="dxa" w:w="1023"/>
          </w:tcPr>
          <w:p>
            <w:pPr>
              <w:spacing w:after="0" w:line="276" w:lineRule="auto"/>
            </w:pPr>
            <w:r/>
          </w:p>
        </w:tc>
        <w:tc>
          <w:tcPr>
            <w:tcW w:type="dxa" w:w="1228"/>
          </w:tcPr>
          <w:p>
            <w:pPr>
              <w:spacing w:after="0" w:line="276" w:lineRule="auto"/>
              <w:jc w:val="right"/>
            </w:pPr>
            <w:r>
              <w:t>3,091,000</w:t>
            </w:r>
          </w:p>
        </w:tc>
      </w:tr>
      <w:tr>
        <w:tc>
          <w:tcPr>
            <w:tcW w:type="dxa" w:w="818"/>
          </w:tcPr>
          <w:p>
            <w:pPr>
              <w:spacing w:after="0" w:line="276" w:lineRule="auto"/>
            </w:pPr>
            <w:r>
              <w:t>7</w:t>
            </w:r>
          </w:p>
        </w:tc>
        <w:tc>
          <w:tcPr>
            <w:tcW w:type="dxa" w:w="4706"/>
          </w:tcPr>
          <w:p>
            <w:pPr>
              <w:spacing w:after="0" w:line="276" w:lineRule="auto"/>
            </w:pPr>
            <w:r>
              <w:t>VAT at 16%</w:t>
            </w:r>
          </w:p>
        </w:tc>
        <w:tc>
          <w:tcPr>
            <w:tcW w:type="dxa" w:w="818"/>
          </w:tcPr>
          <w:p>
            <w:pPr>
              <w:spacing w:after="0" w:line="276" w:lineRule="auto"/>
            </w:pPr>
            <w:r/>
          </w:p>
        </w:tc>
        <w:tc>
          <w:tcPr>
            <w:tcW w:type="dxa" w:w="818"/>
          </w:tcPr>
          <w:p>
            <w:pPr>
              <w:spacing w:after="0" w:line="276" w:lineRule="auto"/>
            </w:pPr>
            <w:r/>
          </w:p>
        </w:tc>
        <w:tc>
          <w:tcPr>
            <w:tcW w:type="dxa" w:w="1023"/>
          </w:tcPr>
          <w:p>
            <w:pPr>
              <w:spacing w:after="0" w:line="276" w:lineRule="auto"/>
            </w:pPr>
            <w:r/>
          </w:p>
        </w:tc>
        <w:tc>
          <w:tcPr>
            <w:tcW w:type="dxa" w:w="1228"/>
          </w:tcPr>
          <w:p>
            <w:pPr>
              <w:spacing w:after="0" w:line="276" w:lineRule="auto"/>
              <w:jc w:val="right"/>
            </w:pPr>
            <w:r>
              <w:t>494,560</w:t>
            </w:r>
          </w:p>
        </w:tc>
      </w:tr>
      <w:tr>
        <w:tc>
          <w:tcPr>
            <w:tcW w:type="dxa" w:w="818"/>
          </w:tcPr>
          <w:p>
            <w:pPr>
              <w:spacing w:after="0" w:line="276" w:lineRule="auto"/>
            </w:pPr>
            <w:r>
              <w:t>8</w:t>
            </w:r>
          </w:p>
        </w:tc>
        <w:tc>
          <w:tcPr>
            <w:tcW w:type="dxa" w:w="4706"/>
          </w:tcPr>
          <w:p>
            <w:pPr>
              <w:spacing w:after="0" w:line="276" w:lineRule="auto"/>
            </w:pPr>
            <w:r>
              <w:t>Grand Total (inclusive of VAT)</w:t>
            </w:r>
          </w:p>
        </w:tc>
        <w:tc>
          <w:tcPr>
            <w:tcW w:type="dxa" w:w="818"/>
          </w:tcPr>
          <w:p>
            <w:pPr>
              <w:spacing w:after="0" w:line="276" w:lineRule="auto"/>
            </w:pPr>
            <w:r/>
          </w:p>
        </w:tc>
        <w:tc>
          <w:tcPr>
            <w:tcW w:type="dxa" w:w="818"/>
          </w:tcPr>
          <w:p>
            <w:pPr>
              <w:spacing w:after="0" w:line="276" w:lineRule="auto"/>
            </w:pPr>
            <w:r/>
          </w:p>
        </w:tc>
        <w:tc>
          <w:tcPr>
            <w:tcW w:type="dxa" w:w="1023"/>
          </w:tcPr>
          <w:p>
            <w:pPr>
              <w:spacing w:after="0" w:line="276" w:lineRule="auto"/>
            </w:pPr>
            <w:r/>
          </w:p>
        </w:tc>
        <w:tc>
          <w:tcPr>
            <w:tcW w:type="dxa" w:w="1228"/>
          </w:tcPr>
          <w:p>
            <w:pPr>
              <w:spacing w:after="0" w:line="276" w:lineRule="auto"/>
              <w:jc w:val="right"/>
            </w:pPr>
            <w:r>
              <w:t>3,585,560</w:t>
            </w:r>
          </w:p>
        </w:tc>
      </w:tr>
    </w:tbl>
    <w:p>
      <w:pPr>
        <w:keepNext/>
        <w:jc w:val="center"/>
      </w:pPr>
      <w:r>
        <w:drawing>
          <wp:inline xmlns:a="http://schemas.openxmlformats.org/drawingml/2006/main" xmlns:pic="http://schemas.openxmlformats.org/drawingml/2006/picture">
            <wp:extent cx="5400000" cy="2113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2113714"/>
                    </a:xfrm>
                    <a:prstGeom prst="rect"/>
                  </pic:spPr>
                </pic:pic>
              </a:graphicData>
            </a:graphic>
          </wp:inline>
        </w:drawing>
      </w:r>
    </w:p>
    <w:p>
      <w:pPr>
        <w:jc w:val="center"/>
      </w:pPr>
      <w:r>
        <w:rPr>
          <w:i/>
          <w:color w:val="6B7280"/>
          <w:sz w:val="18"/>
        </w:rPr>
        <w:t>Figure 1. Amount (KES)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Note on Estimates.</w:t>
            </w:r>
            <w:r>
              <w:t xml:space="preserve"> </w:t>
            </w:r>
            <w:r>
              <w:t>All rates and amounts in this Bill of Quantities are indicative estimates prepared for tender evaluation purposes. Confirm current supplier prices, transport costs, and labour rates before submission. The grand total is inclusive of VAT at 16%.</w:t>
            </w:r>
          </w:p>
        </w:tc>
      </w:tr>
    </w:tbl>
    <w:p>
      <w:pPr>
        <w:spacing w:after="40"/>
      </w:pPr>
    </w:p>
    <w:tbl>
      <w:tblPr>
        <w:tblW w:type="auto" w:w="0"/>
        <w:tblLook w:firstColumn="1" w:firstRow="1" w:lastColumn="0" w:lastRow="0" w:noHBand="0" w:noVBand="1" w:val="04A0"/>
      </w:tblPr>
      <w:tblGrid>
        <w:gridCol w:w="2436"/>
        <w:gridCol w:w="2436"/>
        <w:gridCol w:w="2436"/>
        <w:gridCol w:w="2436"/>
      </w:tblGrid>
      <w:tr>
        <w:tc>
          <w:tcPr>
            <w:tcW w:type="dxa" w:w="2436"/>
            <w:shd w:val="clear" w:color="auto" w:fill="EFF1F3"/>
            <w:tcBorders>
              <w:top w:val="single" w:sz="18" w:color="1F3A5F"/>
              <w:left w:val="nil"/>
              <w:bottom w:val="nil"/>
              <w:right w:val="nil"/>
            </w:tcBorders>
          </w:tcPr>
          <w:p>
            <w:pPr>
              <w:spacing w:after="0"/>
            </w:pPr>
            <w:r>
              <w:rPr>
                <w:b/>
                <w:color w:val="1F3A5F"/>
                <w:sz w:val="36"/>
              </w:rPr>
              <w:t>300</w:t>
            </w:r>
          </w:p>
          <w:p>
            <w:r>
              <w:rPr>
                <w:b/>
                <w:sz w:val="19"/>
              </w:rPr>
              <w:t>Total Desks</w:t>
            </w:r>
          </w:p>
          <w:p>
            <w:r>
              <w:rPr>
                <w:color w:val="6B7280"/>
                <w:sz w:val="17"/>
              </w:rPr>
              <w:t>Ergonomic ECDE classroom desks</w:t>
            </w:r>
          </w:p>
        </w:tc>
        <w:tc>
          <w:tcPr>
            <w:tcW w:type="dxa" w:w="2436"/>
            <w:shd w:val="clear" w:color="auto" w:fill="EFF1F3"/>
            <w:tcBorders>
              <w:top w:val="single" w:sz="18" w:color="1F3A5F"/>
              <w:left w:val="nil"/>
              <w:bottom w:val="nil"/>
              <w:right w:val="nil"/>
            </w:tcBorders>
          </w:tcPr>
          <w:p>
            <w:pPr>
              <w:spacing w:after="0"/>
            </w:pPr>
            <w:r>
              <w:rPr>
                <w:b/>
                <w:color w:val="1F3A5F"/>
                <w:sz w:val="36"/>
              </w:rPr>
              <w:t>KES 3,091,000</w:t>
            </w:r>
          </w:p>
          <w:p>
            <w:r>
              <w:rPr>
                <w:b/>
                <w:sz w:val="19"/>
              </w:rPr>
              <w:t>Subtotal (excl. VAT)</w:t>
            </w:r>
          </w:p>
          <w:p>
            <w:r>
              <w:rPr>
                <w:color w:val="6B7280"/>
                <w:sz w:val="17"/>
              </w:rPr>
              <w:t>Items 1-5</w:t>
            </w:r>
          </w:p>
        </w:tc>
        <w:tc>
          <w:tcPr>
            <w:tcW w:type="dxa" w:w="2436"/>
            <w:shd w:val="clear" w:color="auto" w:fill="EFF1F3"/>
            <w:tcBorders>
              <w:top w:val="single" w:sz="18" w:color="1F3A5F"/>
              <w:left w:val="nil"/>
              <w:bottom w:val="nil"/>
              <w:right w:val="nil"/>
            </w:tcBorders>
          </w:tcPr>
          <w:p>
            <w:pPr>
              <w:spacing w:after="0"/>
            </w:pPr>
            <w:r>
              <w:rPr>
                <w:b/>
                <w:color w:val="1F3A5F"/>
                <w:sz w:val="36"/>
              </w:rPr>
              <w:t>KES 494,560</w:t>
            </w:r>
          </w:p>
          <w:p>
            <w:r>
              <w:rPr>
                <w:b/>
                <w:sz w:val="19"/>
              </w:rPr>
              <w:t>VAT (16%)</w:t>
            </w:r>
          </w:p>
          <w:p>
            <w:r>
              <w:rPr>
                <w:color w:val="6B7280"/>
                <w:sz w:val="17"/>
              </w:rPr>
              <w:t>Statutory tax</w:t>
            </w:r>
          </w:p>
        </w:tc>
        <w:tc>
          <w:tcPr>
            <w:tcW w:type="dxa" w:w="2436"/>
            <w:shd w:val="clear" w:color="auto" w:fill="EFF1F3"/>
            <w:tcBorders>
              <w:top w:val="single" w:sz="18" w:color="1F3A5F"/>
              <w:left w:val="nil"/>
              <w:bottom w:val="nil"/>
              <w:right w:val="nil"/>
            </w:tcBorders>
          </w:tcPr>
          <w:p>
            <w:pPr>
              <w:spacing w:after="0"/>
            </w:pPr>
            <w:r>
              <w:rPr>
                <w:b/>
                <w:color w:val="1F3A5F"/>
                <w:sz w:val="36"/>
              </w:rPr>
              <w:t>KES 3,585,560</w:t>
            </w:r>
          </w:p>
          <w:p>
            <w:r>
              <w:rPr>
                <w:b/>
                <w:sz w:val="19"/>
              </w:rPr>
              <w:t>Grand Total</w:t>
            </w:r>
          </w:p>
          <w:p>
            <w:r>
              <w:rPr>
                <w:color w:val="6B7280"/>
                <w:sz w:val="17"/>
              </w:rPr>
              <w:t>Inclusive of VAT</w:t>
            </w:r>
          </w:p>
        </w:tc>
      </w:tr>
    </w:tbl>
    <w:p>
      <w:pPr>
        <w:spacing w:after="40"/>
      </w:pPr>
    </w:p>
    <w:p>
      <w:pPr>
        <w:pStyle w:val="Heading2"/>
      </w:pPr>
      <w:r>
        <w:t>Statutory Declarations Confirming Eligibility, Integrity, and Regulatory Adherence</w:t>
      </w:r>
    </w:p>
    <w:p>
      <w:r>
        <w:t>Kazi Bora Builders Ltd submits this proposal to the Nakuru County Government for the supply and installation of 300 ergonomic classroom desks for ECDE centres. The declarations below confirm the company's eligibility, integrity, and regulatory adherence under the Public Procurement and Asset Disposal Act, 2015 (PPADA) and related statutes. The company affirms that it is not debarred, has no conflict of interest, and commits to anti-bribery and anti-corruption standards. These declarations are made in accordance with Sections 62 to 65 of PPADA 2015 and the Ethics and Anti-Corruption Commission Act.</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Declaration of No Debarment.</w:t>
            </w:r>
            <w:r>
              <w:t xml:space="preserve"> </w:t>
            </w:r>
            <w:r>
              <w:t>Kazi Bora Builders Ltd declares that it is not debarred from participating in public procurement by the Public Procurement Regulatory Authority or any other competent authority. The company has not been convicted of any offence relating to procurement or been subject to any administrative sanction within the last three years. This declaration is made pursuant to Section 62 of the Public Procurement and Asset Disposal Act, 2015.</w:t>
            </w:r>
          </w:p>
        </w:tc>
      </w:tr>
    </w:tbl>
    <w:p>
      <w:pPr>
        <w:spacing w:after="4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Declaration of No Conflict of Interest.</w:t>
            </w:r>
            <w:r>
              <w:t xml:space="preserve"> </w:t>
            </w:r>
            <w:r>
              <w:t>Kazi Bora Builders Ltd declares that neither the company nor any of its directors, officers, or employees has any conflict of interest, whether financial or personal, that could influence the outcome of this tender. No person involved in the preparation of this proposal has any relationship with any officer of the Nakuru County Government involved in the evaluation or award of this contract. This declaration is made in accordance with Section 63 of the Public Procurement and Asset Disposal Act, 2015.</w:t>
            </w:r>
          </w:p>
        </w:tc>
      </w:tr>
    </w:tbl>
    <w:p>
      <w:pPr>
        <w:spacing w:after="4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t>Commitment to Anti-Bribery and Anti-Corruption: Kazi Bora Builders Ltd commits to upholding the highest standards of integrity and to complying with the Ethics and Anti-Corruption Commission Act. The company has in place an anti-bribery policy and will not offer, promise, give, or accept any undue advantage in connection with this tender or the performance of the contract. Any breach of this commitment may result in termination of the contract and reporting to the relevant authorities. This declaration is made pursuant to Section 64 of the Public Procurement and Asset Disposal Act, 2015.</w:t>
            </w:r>
          </w:p>
        </w:tc>
      </w:tr>
    </w:tbl>
    <w:p>
      <w:pPr>
        <w:spacing w:after="40"/>
      </w:pPr>
    </w:p>
    <w:p>
      <w:r>
        <w:t>Kazi Bora Builders Ltd further declares that it will comply with all applicable provisions of the Public Procurement and Asset Disposal Act, 2015, including Sections 62 to 65, and any other relevant laws and regulations. The company understands that any false declaration may lead to disqualification and legal action. Signed declarations are provided in the annexes, with signatures to be inserted by the authorised signatories.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3797"/>
        <w:gridCol w:w="4293"/>
        <w:gridCol w:w="1321"/>
      </w:tblGrid>
      <w:tr>
        <w:trPr>
          <w:tblHeader w:val="true"/>
          <w:cantSplit/>
        </w:trPr>
        <w:tc>
          <w:tcPr>
            <w:tcW w:type="dxa" w:w="3797"/>
            <w:shd w:val="clear" w:color="auto" w:fill="DFE3E8"/>
          </w:tcPr>
          <w:p>
            <w:pPr>
              <w:spacing w:after="0" w:line="276" w:lineRule="auto"/>
            </w:pPr>
            <w:r>
              <w:rPr>
                <w:b/>
              </w:rPr>
              <w:t>Declaration</w:t>
            </w:r>
          </w:p>
        </w:tc>
        <w:tc>
          <w:tcPr>
            <w:tcW w:type="dxa" w:w="4293"/>
            <w:shd w:val="clear" w:color="auto" w:fill="DFE3E8"/>
          </w:tcPr>
          <w:p>
            <w:pPr>
              <w:spacing w:after="0" w:line="276" w:lineRule="auto"/>
            </w:pPr>
            <w:r>
              <w:rPr>
                <w:b/>
              </w:rPr>
              <w:t>Statutory Reference</w:t>
            </w:r>
          </w:p>
        </w:tc>
        <w:tc>
          <w:tcPr>
            <w:tcW w:type="dxa" w:w="1321"/>
            <w:shd w:val="clear" w:color="auto" w:fill="DFE3E8"/>
          </w:tcPr>
          <w:p>
            <w:pPr>
              <w:spacing w:after="0" w:line="276" w:lineRule="auto"/>
            </w:pPr>
            <w:r>
              <w:rPr>
                <w:b/>
              </w:rPr>
              <w:t>Status</w:t>
            </w:r>
          </w:p>
        </w:tc>
      </w:tr>
      <w:tr>
        <w:tc>
          <w:tcPr>
            <w:tcW w:type="dxa" w:w="3797"/>
          </w:tcPr>
          <w:p>
            <w:pPr>
              <w:spacing w:after="0" w:line="276" w:lineRule="auto"/>
            </w:pPr>
            <w:r>
              <w:t>No debarment</w:t>
            </w:r>
          </w:p>
        </w:tc>
        <w:tc>
          <w:tcPr>
            <w:tcW w:type="dxa" w:w="4293"/>
          </w:tcPr>
          <w:p>
            <w:pPr>
              <w:spacing w:after="0" w:line="276" w:lineRule="auto"/>
            </w:pPr>
            <w:r>
              <w:t>PPADA 2015, s.62</w:t>
            </w:r>
          </w:p>
        </w:tc>
        <w:tc>
          <w:tcPr>
            <w:tcW w:type="dxa" w:w="1321"/>
          </w:tcPr>
          <w:p>
            <w:pPr>
              <w:spacing w:after="0" w:line="276" w:lineRule="auto"/>
            </w:pPr>
            <w:r>
              <w:t>Declared</w:t>
            </w:r>
          </w:p>
        </w:tc>
      </w:tr>
      <w:tr>
        <w:tc>
          <w:tcPr>
            <w:tcW w:type="dxa" w:w="3797"/>
          </w:tcPr>
          <w:p>
            <w:pPr>
              <w:spacing w:after="0" w:line="276" w:lineRule="auto"/>
            </w:pPr>
            <w:r>
              <w:t>No conflict of interest</w:t>
            </w:r>
          </w:p>
        </w:tc>
        <w:tc>
          <w:tcPr>
            <w:tcW w:type="dxa" w:w="4293"/>
          </w:tcPr>
          <w:p>
            <w:pPr>
              <w:spacing w:after="0" w:line="276" w:lineRule="auto"/>
            </w:pPr>
            <w:r>
              <w:t>PPADA 2015, s.63</w:t>
            </w:r>
          </w:p>
        </w:tc>
        <w:tc>
          <w:tcPr>
            <w:tcW w:type="dxa" w:w="1321"/>
          </w:tcPr>
          <w:p>
            <w:pPr>
              <w:spacing w:after="0" w:line="276" w:lineRule="auto"/>
            </w:pPr>
            <w:r>
              <w:t>Declared</w:t>
            </w:r>
          </w:p>
        </w:tc>
      </w:tr>
      <w:tr>
        <w:tc>
          <w:tcPr>
            <w:tcW w:type="dxa" w:w="3797"/>
          </w:tcPr>
          <w:p>
            <w:pPr>
              <w:spacing w:after="0" w:line="276" w:lineRule="auto"/>
            </w:pPr>
            <w:r>
              <w:t>Anti-bribery commitment</w:t>
            </w:r>
          </w:p>
        </w:tc>
        <w:tc>
          <w:tcPr>
            <w:tcW w:type="dxa" w:w="4293"/>
          </w:tcPr>
          <w:p>
            <w:pPr>
              <w:spacing w:after="0" w:line="276" w:lineRule="auto"/>
            </w:pPr>
            <w:r>
              <w:t>EACC Act; PPADA 2015, s.64</w:t>
            </w:r>
          </w:p>
        </w:tc>
        <w:tc>
          <w:tcPr>
            <w:tcW w:type="dxa" w:w="1321"/>
          </w:tcPr>
          <w:p>
            <w:pPr>
              <w:spacing w:after="0" w:line="276" w:lineRule="auto"/>
            </w:pPr>
            <w:r>
              <w:t>Declared</w:t>
            </w:r>
          </w:p>
        </w:tc>
      </w:tr>
      <w:tr>
        <w:tc>
          <w:tcPr>
            <w:tcW w:type="dxa" w:w="3797"/>
          </w:tcPr>
          <w:p>
            <w:pPr>
              <w:spacing w:after="0" w:line="276" w:lineRule="auto"/>
            </w:pPr>
            <w:r>
              <w:t>Compliance with PPADA</w:t>
            </w:r>
          </w:p>
        </w:tc>
        <w:tc>
          <w:tcPr>
            <w:tcW w:type="dxa" w:w="4293"/>
          </w:tcPr>
          <w:p>
            <w:pPr>
              <w:spacing w:after="0" w:line="276" w:lineRule="auto"/>
            </w:pPr>
            <w:r>
              <w:t>PPADA 2015, ss.62-65</w:t>
            </w:r>
          </w:p>
        </w:tc>
        <w:tc>
          <w:tcPr>
            <w:tcW w:type="dxa" w:w="1321"/>
          </w:tcPr>
          <w:p>
            <w:pPr>
              <w:spacing w:after="0" w:line="276" w:lineRule="auto"/>
            </w:pPr>
            <w:r>
              <w:t>Declared</w:t>
            </w:r>
          </w:p>
        </w:tc>
      </w:tr>
    </w:tbl>
    <w:p>
      <w:pPr>
        <w:spacing w:after="0"/>
      </w:pP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Technical and Financial Proposal for Supply and Installation of 300...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