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r>
        <w:rPr>
          <w:b/>
          <w:color w:val="1F3A5F"/>
          <w:sz w:val="20"/>
        </w:rPr>
        <w:t>BUSINESS PLAN</w:t>
      </w:r>
    </w:p>
    <w:p>
      <w:pPr>
        <w:pStyle w:val="Title"/>
      </w:pPr>
      <w:r>
        <w:t>Baridi Fresh Business Plan: Solar-Powered Cold-Storage Hub for Marikiti Market Traders</w:t>
      </w:r>
    </w:p>
    <w:p>
      <w:pPr>
        <w:ind w:right="6803"/>
        <w:pBdr>
          <w:bottom w:val="single" w:sz="18" w:space="1" w:color="1F3A5F"/>
        </w:pBdr>
      </w:pPr>
    </w:p>
    <w:p>
      <w:r>
        <w:rPr>
          <w:color w:val="6B7280"/>
          <w:sz w:val="22"/>
        </w:rPr>
        <w:t>October 2026</w:t>
      </w:r>
    </w:p>
    <w:p>
      <w:r>
        <w:br w:type="page"/>
      </w:r>
    </w:p>
    <w:p>
      <w:pPr>
        <w:pStyle w:val="Heading1"/>
      </w:pPr>
      <w:r>
        <w:t>Contents</w:t>
      </w:r>
    </w:p>
    <w:p>
      <w:pPr>
        <w:spacing w:after="80"/>
      </w:pPr>
      <w:r>
        <w:rPr>
          <w:b/>
          <w:color w:val="1F3A5F"/>
        </w:rPr>
        <w:t xml:space="preserve"> 1   </w:t>
      </w:r>
      <w:r>
        <w:t>Post-Harvest Loss Crisis at Marikiti Market</w:t>
      </w:r>
    </w:p>
    <w:p>
      <w:pPr>
        <w:spacing w:after="80"/>
      </w:pPr>
      <w:r>
        <w:rPr>
          <w:b/>
          <w:color w:val="1F3A5F"/>
        </w:rPr>
        <w:t xml:space="preserve"> 2   </w:t>
      </w:r>
      <w:r>
        <w:t>Daily Crate Rental Service with Solar-Powered Storage</w:t>
      </w:r>
    </w:p>
    <w:p>
      <w:pPr>
        <w:spacing w:after="80"/>
      </w:pPr>
      <w:r>
        <w:rPr>
          <w:b/>
          <w:color w:val="1F3A5F"/>
        </w:rPr>
        <w:t xml:space="preserve"> 3   </w:t>
      </w:r>
      <w:r>
        <w:t>Tiered Daily Crate Rental Pricing in KES</w:t>
      </w:r>
    </w:p>
    <w:p>
      <w:pPr>
        <w:spacing w:after="80"/>
      </w:pPr>
      <w:r>
        <w:rPr>
          <w:b/>
          <w:color w:val="1F3A5F"/>
        </w:rPr>
        <w:t xml:space="preserve"> 4   </w:t>
      </w:r>
      <w:r>
        <w:t>KES Startup Cost Breakdown</w:t>
      </w:r>
    </w:p>
    <w:p>
      <w:pPr>
        <w:spacing w:after="80"/>
      </w:pPr>
      <w:r>
        <w:rPr>
          <w:b/>
          <w:color w:val="1F3A5F"/>
        </w:rPr>
        <w:t xml:space="preserve"> 5   </w:t>
      </w:r>
      <w:r>
        <w:t>12-Month Revenue Projection (KES)</w:t>
      </w:r>
    </w:p>
    <w:p>
      <w:pPr>
        <w:spacing w:after="80"/>
      </w:pPr>
      <w:r>
        <w:rPr>
          <w:b/>
          <w:color w:val="1F3A5F"/>
        </w:rPr>
        <w:t xml:space="preserve"> 6   </w:t>
      </w:r>
      <w:r>
        <w:t>Market-Integrated Operations Workflow</w:t>
      </w:r>
    </w:p>
    <w:p>
      <w:pPr>
        <w:spacing w:after="80"/>
      </w:pPr>
      <w:r>
        <w:rPr>
          <w:b/>
          <w:color w:val="1F3A5F"/>
        </w:rPr>
        <w:t xml:space="preserve"> 7   </w:t>
      </w:r>
      <w:r>
        <w:t>Core Implementation Team and Local Partnerships</w:t>
      </w:r>
    </w:p>
    <w:p>
      <w:pPr>
        <w:spacing w:after="80"/>
      </w:pPr>
      <w:r>
        <w:rPr>
          <w:b/>
          <w:color w:val="1F3A5F"/>
        </w:rPr>
        <w:t xml:space="preserve"> 8   </w:t>
      </w:r>
      <w:r>
        <w:t>Key Operational and Market Risks with Mitigation Actions</w:t>
      </w:r>
    </w:p>
    <w:p>
      <w:pPr>
        <w:spacing w:after="80"/>
      </w:pPr>
      <w:r>
        <w:rPr>
          <w:b/>
          <w:color w:val="1F3A5F"/>
        </w:rPr>
        <w:t xml:space="preserve"> 9   </w:t>
      </w:r>
      <w:r>
        <w:t>Funding Ask: KES 12.4 Million for Launch and First-Year Sustainability</w:t>
      </w:r>
    </w:p>
    <w:p>
      <w:r>
        <w:br w:type="page"/>
      </w:r>
    </w:p>
    <w:p>
      <w:pPr>
        <w:pStyle w:val="Heading2"/>
      </w:pPr>
      <w:r>
        <w:t>Post-Harvest Loss Crisis at Marikiti Market</w:t>
      </w:r>
    </w:p>
    <w:p>
      <w:r>
        <w:t>Small-scale traders at Marikiti Market face severe post-harvest losses due to lack of refrigeration, with studies indicating up to 54% loss in perishable value chains like mangoes.</w:t>
      </w:r>
    </w:p>
    <w:p>
      <w:r>
        <w:t>This spoilage directly erodes daily income and food security for vendors handling indigenous vegetables and fruits. The absence of affordable cold storage forces rapid distress sales, reducing profit margins and increasing waste. Addressing this gap is critical for sustaining trader livelihoods and reducing market-level inefficiencies.</w:t>
      </w:r>
    </w:p>
    <w:p>
      <w:pPr>
        <w:pStyle w:val="Heading2"/>
      </w:pPr>
      <w:r>
        <w:t>Daily Crate Rental Service with Solar-Powered Storage</w:t>
      </w:r>
    </w:p>
    <w:p>
      <w:r>
        <w:t>Baridi Fresh operates a solar-powered cold-storage hub at Marikiti Market, offering small-scale vegetable and fruit traders daily rental of insulated crates in temperature-controlled storage zones. The service is designed around three storage zones: a 2-4°C zone for leafy greens and herbs, a 6-8°C zone for tomatoes, peppers, and cucumbers, and a 10-12°C zone for tropical fruits such as mangoes and bananas. Each zone is cooled by a solar PV array with battery backup, ensuring uninterrupted operation during grid outages.</w:t>
      </w:r>
    </w:p>
    <w:p>
      <w:r>
        <w:t>Traders rent crates on a daily basis, dropping off produce in the morning and collecting it in the evening or the following morning. Crates are stackable, food-grade, and labelled with a unique QR code for tracking. Access is controlled via a simple membership system: traders register with a national ID and a refundable deposit, then receive a crate allocation based on their daily volume. The hub operates from 5:00 AM to 8:00 PM, aligning with market hours. A market liaison officer coordinates with Marikiti Market Management to ensure smooth crate flow and dispute resolution. The service is intentionally low-tech for traders: no app is required, and payments are accepted via M-Pesa or cash at the hub. This model directly addresses post-harvest losses by extending shelf life, reducing spoilage, and enabling traders to sell at better prices.</w:t>
      </w:r>
    </w:p>
    <w:p>
      <w:pPr>
        <w:pStyle w:val="Heading2"/>
      </w:pPr>
      <w:r>
        <w:t>Tiered Daily Crate Rental Pricing in KES</w:t>
      </w:r>
    </w:p>
    <w:p>
      <w:r>
        <w:t>Baridi Fresh charges per crate per day, with three tiers designed around trader volumes and produce types. All figures are indicative estimates for planning; confirm current market rates and operating costs before finalising.</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176"/>
        <w:gridCol w:w="2059"/>
        <w:gridCol w:w="2059"/>
        <w:gridCol w:w="2059"/>
        <w:gridCol w:w="2059"/>
      </w:tblGrid>
      <w:tr>
        <w:trPr>
          <w:tblHeader w:val="true"/>
          <w:cantSplit/>
        </w:trPr>
        <w:tc>
          <w:tcPr>
            <w:tcW w:type="dxa" w:w="1176"/>
            <w:shd w:val="clear" w:color="auto" w:fill="DFE3E8"/>
          </w:tcPr>
          <w:p>
            <w:pPr>
              <w:spacing w:after="0" w:line="276" w:lineRule="auto"/>
            </w:pPr>
            <w:r>
              <w:rPr>
                <w:b/>
              </w:rPr>
              <w:t>Tier</w:t>
            </w:r>
          </w:p>
        </w:tc>
        <w:tc>
          <w:tcPr>
            <w:tcW w:type="dxa" w:w="2059"/>
            <w:shd w:val="clear" w:color="auto" w:fill="DFE3E8"/>
          </w:tcPr>
          <w:p>
            <w:pPr>
              <w:spacing w:after="0" w:line="276" w:lineRule="auto"/>
            </w:pPr>
            <w:r>
              <w:rPr>
                <w:b/>
              </w:rPr>
              <w:t>Daily Rate per Crate (KES)</w:t>
            </w:r>
          </w:p>
        </w:tc>
        <w:tc>
          <w:tcPr>
            <w:tcW w:type="dxa" w:w="2059"/>
            <w:shd w:val="clear" w:color="auto" w:fill="DFE3E8"/>
          </w:tcPr>
          <w:p>
            <w:pPr>
              <w:spacing w:after="0" w:line="276" w:lineRule="auto"/>
            </w:pPr>
            <w:r>
              <w:rPr>
                <w:b/>
              </w:rPr>
              <w:t>Minimum Crates</w:t>
            </w:r>
          </w:p>
        </w:tc>
        <w:tc>
          <w:tcPr>
            <w:tcW w:type="dxa" w:w="2059"/>
            <w:shd w:val="clear" w:color="auto" w:fill="DFE3E8"/>
          </w:tcPr>
          <w:p>
            <w:pPr>
              <w:spacing w:after="0" w:line="276" w:lineRule="auto"/>
            </w:pPr>
            <w:r>
              <w:rPr>
                <w:b/>
              </w:rPr>
              <w:t>Deposit per Crate (KES)</w:t>
            </w:r>
          </w:p>
        </w:tc>
        <w:tc>
          <w:tcPr>
            <w:tcW w:type="dxa" w:w="2059"/>
            <w:shd w:val="clear" w:color="auto" w:fill="DFE3E8"/>
          </w:tcPr>
          <w:p>
            <w:pPr>
              <w:spacing w:after="0" w:line="276" w:lineRule="auto"/>
            </w:pPr>
            <w:r>
              <w:rPr>
                <w:b/>
              </w:rPr>
              <w:t>Late Return Fee (KES/day)</w:t>
            </w:r>
          </w:p>
        </w:tc>
      </w:tr>
      <w:tr>
        <w:tc>
          <w:tcPr>
            <w:tcW w:type="dxa" w:w="1176"/>
          </w:tcPr>
          <w:p>
            <w:pPr>
              <w:spacing w:after="0" w:line="276" w:lineRule="auto"/>
            </w:pPr>
            <w:r>
              <w:t>Starter</w:t>
            </w:r>
          </w:p>
        </w:tc>
        <w:tc>
          <w:tcPr>
            <w:tcW w:type="dxa" w:w="2059"/>
          </w:tcPr>
          <w:p>
            <w:pPr>
              <w:spacing w:after="0" w:line="276" w:lineRule="auto"/>
              <w:jc w:val="right"/>
            </w:pPr>
            <w:r>
              <w:t>50</w:t>
            </w:r>
          </w:p>
        </w:tc>
        <w:tc>
          <w:tcPr>
            <w:tcW w:type="dxa" w:w="2059"/>
          </w:tcPr>
          <w:p>
            <w:pPr>
              <w:spacing w:after="0" w:line="276" w:lineRule="auto"/>
            </w:pPr>
            <w:r>
              <w:t>1-5</w:t>
            </w:r>
          </w:p>
        </w:tc>
        <w:tc>
          <w:tcPr>
            <w:tcW w:type="dxa" w:w="2059"/>
          </w:tcPr>
          <w:p>
            <w:pPr>
              <w:spacing w:after="0" w:line="276" w:lineRule="auto"/>
              <w:jc w:val="right"/>
            </w:pPr>
            <w:r>
              <w:t>200</w:t>
            </w:r>
          </w:p>
        </w:tc>
        <w:tc>
          <w:tcPr>
            <w:tcW w:type="dxa" w:w="2059"/>
          </w:tcPr>
          <w:p>
            <w:pPr>
              <w:spacing w:after="0" w:line="276" w:lineRule="auto"/>
              <w:jc w:val="right"/>
            </w:pPr>
            <w:r>
              <w:t>60</w:t>
            </w:r>
          </w:p>
        </w:tc>
      </w:tr>
      <w:tr>
        <w:tc>
          <w:tcPr>
            <w:tcW w:type="dxa" w:w="1176"/>
          </w:tcPr>
          <w:p>
            <w:pPr>
              <w:spacing w:after="0" w:line="276" w:lineRule="auto"/>
            </w:pPr>
            <w:r>
              <w:t>Regular</w:t>
            </w:r>
          </w:p>
        </w:tc>
        <w:tc>
          <w:tcPr>
            <w:tcW w:type="dxa" w:w="2059"/>
          </w:tcPr>
          <w:p>
            <w:pPr>
              <w:spacing w:after="0" w:line="276" w:lineRule="auto"/>
              <w:jc w:val="right"/>
            </w:pPr>
            <w:r>
              <w:t>40</w:t>
            </w:r>
          </w:p>
        </w:tc>
        <w:tc>
          <w:tcPr>
            <w:tcW w:type="dxa" w:w="2059"/>
          </w:tcPr>
          <w:p>
            <w:pPr>
              <w:spacing w:after="0" w:line="276" w:lineRule="auto"/>
            </w:pPr>
            <w:r>
              <w:t>6-20</w:t>
            </w:r>
          </w:p>
        </w:tc>
        <w:tc>
          <w:tcPr>
            <w:tcW w:type="dxa" w:w="2059"/>
          </w:tcPr>
          <w:p>
            <w:pPr>
              <w:spacing w:after="0" w:line="276" w:lineRule="auto"/>
              <w:jc w:val="right"/>
            </w:pPr>
            <w:r>
              <w:t>200</w:t>
            </w:r>
          </w:p>
        </w:tc>
        <w:tc>
          <w:tcPr>
            <w:tcW w:type="dxa" w:w="2059"/>
          </w:tcPr>
          <w:p>
            <w:pPr>
              <w:spacing w:after="0" w:line="276" w:lineRule="auto"/>
              <w:jc w:val="right"/>
            </w:pPr>
            <w:r>
              <w:t>50</w:t>
            </w:r>
          </w:p>
        </w:tc>
      </w:tr>
      <w:tr>
        <w:tc>
          <w:tcPr>
            <w:tcW w:type="dxa" w:w="1176"/>
          </w:tcPr>
          <w:p>
            <w:pPr>
              <w:spacing w:after="0" w:line="276" w:lineRule="auto"/>
            </w:pPr>
            <w:r>
              <w:t>Volume</w:t>
            </w:r>
          </w:p>
        </w:tc>
        <w:tc>
          <w:tcPr>
            <w:tcW w:type="dxa" w:w="2059"/>
          </w:tcPr>
          <w:p>
            <w:pPr>
              <w:spacing w:after="0" w:line="276" w:lineRule="auto"/>
              <w:jc w:val="right"/>
            </w:pPr>
            <w:r>
              <w:t>30</w:t>
            </w:r>
          </w:p>
        </w:tc>
        <w:tc>
          <w:tcPr>
            <w:tcW w:type="dxa" w:w="2059"/>
          </w:tcPr>
          <w:p>
            <w:pPr>
              <w:spacing w:after="0" w:line="276" w:lineRule="auto"/>
            </w:pPr>
            <w:r>
              <w:t>21+</w:t>
            </w:r>
          </w:p>
        </w:tc>
        <w:tc>
          <w:tcPr>
            <w:tcW w:type="dxa" w:w="2059"/>
          </w:tcPr>
          <w:p>
            <w:pPr>
              <w:spacing w:after="0" w:line="276" w:lineRule="auto"/>
              <w:jc w:val="right"/>
            </w:pPr>
            <w:r>
              <w:t>200</w:t>
            </w:r>
          </w:p>
        </w:tc>
        <w:tc>
          <w:tcPr>
            <w:tcW w:type="dxa" w:w="2059"/>
          </w:tcPr>
          <w:p>
            <w:pPr>
              <w:spacing w:after="0" w:line="276" w:lineRule="auto"/>
              <w:jc w:val="right"/>
            </w:pPr>
            <w:r>
              <w:t>40</w:t>
            </w:r>
          </w:p>
        </w:tc>
      </w:tr>
    </w:tbl>
    <w:p>
      <w:pPr>
        <w:keepNext/>
        <w:jc w:val="center"/>
      </w:pPr>
      <w:r>
        <w:drawing>
          <wp:inline xmlns:a="http://schemas.openxmlformats.org/drawingml/2006/main" xmlns:pic="http://schemas.openxmlformats.org/drawingml/2006/picture">
            <wp:extent cx="5400000" cy="1033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1033714"/>
                    </a:xfrm>
                    <a:prstGeom prst="rect"/>
                  </pic:spPr>
                </pic:pic>
              </a:graphicData>
            </a:graphic>
          </wp:inline>
        </w:drawing>
      </w:r>
    </w:p>
    <w:p>
      <w:pPr>
        <w:jc w:val="center"/>
      </w:pPr>
      <w:r>
        <w:rPr>
          <w:i/>
          <w:color w:val="6B7280"/>
          <w:sz w:val="18"/>
        </w:rPr>
        <w:t>Figure 1. Daily Rate per Crate (KES)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Pricing Note.</w:t>
            </w:r>
            <w:r>
              <w:t xml:space="preserve"> </w:t>
            </w:r>
            <w:r>
              <w:t>Rates are estimates. Confirm current supplier prices, electricity tariffs, and market fees before submission. Deposits are refundable on return of undamaged crates.</w:t>
            </w:r>
          </w:p>
        </w:tc>
      </w:tr>
    </w:tbl>
    <w:p>
      <w:pPr>
        <w:spacing w:after="40"/>
      </w:pPr>
    </w:p>
    <w:p>
      <w:pPr>
        <w:pStyle w:val="Heading2"/>
      </w:pPr>
      <w:r>
        <w:t>KES Startup Cost Breakdown</w:t>
      </w:r>
    </w:p>
    <w:p>
      <w:r>
        <w:t>The initial capital requirement for Baridi Fresh is estimated at KES 12.4 million. This budget prioritizes solar infrastructure to ensure uninterrupted cooling in Nairobi’s variable grid environment and durable crate inventory to support daily trader turnover. These figures are indicative estimates based on current market rates for commercial refrigeration and solar components in Kenya; confirm current supplier prices before submission.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172"/>
        <w:gridCol w:w="5550"/>
        <w:gridCol w:w="1689"/>
      </w:tblGrid>
      <w:tr>
        <w:trPr>
          <w:tblHeader w:val="true"/>
          <w:cantSplit/>
        </w:trPr>
        <w:tc>
          <w:tcPr>
            <w:tcW w:type="dxa" w:w="2172"/>
            <w:shd w:val="clear" w:color="auto" w:fill="DFE3E8"/>
          </w:tcPr>
          <w:p>
            <w:pPr>
              <w:spacing w:after="0" w:line="276" w:lineRule="auto"/>
            </w:pPr>
            <w:r>
              <w:rPr>
                <w:b/>
              </w:rPr>
              <w:t>Cost Category</w:t>
            </w:r>
          </w:p>
        </w:tc>
        <w:tc>
          <w:tcPr>
            <w:tcW w:type="dxa" w:w="5550"/>
            <w:shd w:val="clear" w:color="auto" w:fill="DFE3E8"/>
          </w:tcPr>
          <w:p>
            <w:pPr>
              <w:spacing w:after="0" w:line="276" w:lineRule="auto"/>
            </w:pPr>
            <w:r>
              <w:rPr>
                <w:b/>
              </w:rPr>
              <w:t>Description</w:t>
            </w:r>
          </w:p>
        </w:tc>
        <w:tc>
          <w:tcPr>
            <w:tcW w:type="dxa" w:w="1689"/>
            <w:shd w:val="clear" w:color="auto" w:fill="DFE3E8"/>
          </w:tcPr>
          <w:p>
            <w:pPr>
              <w:spacing w:after="0" w:line="276" w:lineRule="auto"/>
            </w:pPr>
            <w:r>
              <w:rPr>
                <w:b/>
              </w:rPr>
              <w:t>Estimated Cost (KES)</w:t>
            </w:r>
          </w:p>
        </w:tc>
      </w:tr>
      <w:tr>
        <w:tc>
          <w:tcPr>
            <w:tcW w:type="dxa" w:w="2172"/>
          </w:tcPr>
          <w:p>
            <w:pPr>
              <w:spacing w:after="0" w:line="276" w:lineRule="auto"/>
            </w:pPr>
            <w:r>
              <w:t>Solar PV System</w:t>
            </w:r>
          </w:p>
        </w:tc>
        <w:tc>
          <w:tcPr>
            <w:tcW w:type="dxa" w:w="5550"/>
          </w:tcPr>
          <w:p>
            <w:pPr>
              <w:spacing w:after="0" w:line="276" w:lineRule="auto"/>
            </w:pPr>
            <w:r>
              <w:t>50kW panels, inverters, and lithium-ion battery storage for 24/7 operation</w:t>
            </w:r>
          </w:p>
        </w:tc>
        <w:tc>
          <w:tcPr>
            <w:tcW w:type="dxa" w:w="1689"/>
          </w:tcPr>
          <w:p>
            <w:pPr>
              <w:spacing w:after="0" w:line="276" w:lineRule="auto"/>
              <w:jc w:val="right"/>
            </w:pPr>
            <w:r>
              <w:t>4,500,000</w:t>
            </w:r>
          </w:p>
        </w:tc>
      </w:tr>
      <w:tr>
        <w:tc>
          <w:tcPr>
            <w:tcW w:type="dxa" w:w="2172"/>
          </w:tcPr>
          <w:p>
            <w:pPr>
              <w:spacing w:after="0" w:line="276" w:lineRule="auto"/>
            </w:pPr>
            <w:r>
              <w:t>Cold Storage Units</w:t>
            </w:r>
          </w:p>
        </w:tc>
        <w:tc>
          <w:tcPr>
            <w:tcW w:type="dxa" w:w="5550"/>
          </w:tcPr>
          <w:p>
            <w:pPr>
              <w:spacing w:after="0" w:line="276" w:lineRule="auto"/>
            </w:pPr>
            <w:r>
              <w:t>Two 20ft insulated containers with refrigeration units and temperature controls</w:t>
            </w:r>
          </w:p>
        </w:tc>
        <w:tc>
          <w:tcPr>
            <w:tcW w:type="dxa" w:w="1689"/>
          </w:tcPr>
          <w:p>
            <w:pPr>
              <w:spacing w:after="0" w:line="276" w:lineRule="auto"/>
              <w:jc w:val="right"/>
            </w:pPr>
            <w:r>
              <w:t>3,200,000</w:t>
            </w:r>
          </w:p>
        </w:tc>
      </w:tr>
      <w:tr>
        <w:tc>
          <w:tcPr>
            <w:tcW w:type="dxa" w:w="2172"/>
          </w:tcPr>
          <w:p>
            <w:pPr>
              <w:spacing w:after="0" w:line="276" w:lineRule="auto"/>
            </w:pPr>
            <w:r>
              <w:t>Crate Inventory</w:t>
            </w:r>
          </w:p>
        </w:tc>
        <w:tc>
          <w:tcPr>
            <w:tcW w:type="dxa" w:w="5550"/>
          </w:tcPr>
          <w:p>
            <w:pPr>
              <w:spacing w:after="0" w:line="276" w:lineRule="auto"/>
            </w:pPr>
            <w:r>
              <w:t>5,000 stackable, ventilated plastic crates for trader rental</w:t>
            </w:r>
          </w:p>
        </w:tc>
        <w:tc>
          <w:tcPr>
            <w:tcW w:type="dxa" w:w="1689"/>
          </w:tcPr>
          <w:p>
            <w:pPr>
              <w:spacing w:after="0" w:line="276" w:lineRule="auto"/>
              <w:jc w:val="right"/>
            </w:pPr>
            <w:r>
              <w:t>1,500,000</w:t>
            </w:r>
          </w:p>
        </w:tc>
      </w:tr>
      <w:tr>
        <w:tc>
          <w:tcPr>
            <w:tcW w:type="dxa" w:w="2172"/>
          </w:tcPr>
          <w:p>
            <w:pPr>
              <w:spacing w:after="0" w:line="276" w:lineRule="auto"/>
            </w:pPr>
            <w:r>
              <w:t>Site Preparation</w:t>
            </w:r>
          </w:p>
        </w:tc>
        <w:tc>
          <w:tcPr>
            <w:tcW w:type="dxa" w:w="5550"/>
          </w:tcPr>
          <w:p>
            <w:pPr>
              <w:spacing w:after="0" w:line="276" w:lineRule="auto"/>
            </w:pPr>
            <w:r>
              <w:t>Foundation, security fencing, lighting, and loading bay setup at Marikiti</w:t>
            </w:r>
          </w:p>
        </w:tc>
        <w:tc>
          <w:tcPr>
            <w:tcW w:type="dxa" w:w="1689"/>
          </w:tcPr>
          <w:p>
            <w:pPr>
              <w:spacing w:after="0" w:line="276" w:lineRule="auto"/>
              <w:jc w:val="right"/>
            </w:pPr>
            <w:r>
              <w:t>1,200,000</w:t>
            </w:r>
          </w:p>
        </w:tc>
      </w:tr>
      <w:tr>
        <w:tc>
          <w:tcPr>
            <w:tcW w:type="dxa" w:w="2172"/>
          </w:tcPr>
          <w:p>
            <w:pPr>
              <w:spacing w:after="0" w:line="276" w:lineRule="auto"/>
            </w:pPr>
            <w:r>
              <w:t>Regulatory &amp; Legal</w:t>
            </w:r>
          </w:p>
        </w:tc>
        <w:tc>
          <w:tcPr>
            <w:tcW w:type="dxa" w:w="5550"/>
          </w:tcPr>
          <w:p>
            <w:pPr>
              <w:spacing w:after="0" w:line="276" w:lineRule="auto"/>
            </w:pPr>
            <w:r>
              <w:t>Business registration, NEMA compliance, county permits, and legal fees</w:t>
            </w:r>
          </w:p>
        </w:tc>
        <w:tc>
          <w:tcPr>
            <w:tcW w:type="dxa" w:w="1689"/>
          </w:tcPr>
          <w:p>
            <w:pPr>
              <w:spacing w:after="0" w:line="276" w:lineRule="auto"/>
              <w:jc w:val="right"/>
            </w:pPr>
            <w:r>
              <w:t>800,000</w:t>
            </w:r>
          </w:p>
        </w:tc>
      </w:tr>
      <w:tr>
        <w:tc>
          <w:tcPr>
            <w:tcW w:type="dxa" w:w="2172"/>
          </w:tcPr>
          <w:p>
            <w:pPr>
              <w:spacing w:after="0" w:line="276" w:lineRule="auto"/>
            </w:pPr>
            <w:r>
              <w:t>Working Capital</w:t>
            </w:r>
          </w:p>
        </w:tc>
        <w:tc>
          <w:tcPr>
            <w:tcW w:type="dxa" w:w="5550"/>
          </w:tcPr>
          <w:p>
            <w:pPr>
              <w:spacing w:after="0" w:line="276" w:lineRule="auto"/>
            </w:pPr>
            <w:r>
              <w:t>Initial staff salaries, marketing, and contingency fund for first 3 months</w:t>
            </w:r>
          </w:p>
        </w:tc>
        <w:tc>
          <w:tcPr>
            <w:tcW w:type="dxa" w:w="1689"/>
          </w:tcPr>
          <w:p>
            <w:pPr>
              <w:spacing w:after="0" w:line="276" w:lineRule="auto"/>
              <w:jc w:val="right"/>
            </w:pPr>
            <w:r>
              <w:t>1,200,000</w:t>
            </w:r>
          </w:p>
        </w:tc>
      </w:tr>
      <w:tr>
        <w:tc>
          <w:tcPr>
            <w:tcW w:type="dxa" w:w="2172"/>
            <w:shd w:val="clear" w:color="auto" w:fill="F3F4F6"/>
          </w:tcPr>
          <w:p>
            <w:pPr>
              <w:spacing w:after="0" w:line="276" w:lineRule="auto"/>
            </w:pPr>
            <w:r>
              <w:rPr>
                <w:b/>
              </w:rPr>
              <w:t>Total</w:t>
            </w:r>
          </w:p>
        </w:tc>
        <w:tc>
          <w:tcPr>
            <w:tcW w:type="dxa" w:w="5550"/>
            <w:shd w:val="clear" w:color="auto" w:fill="F3F4F6"/>
          </w:tcPr>
          <w:p>
            <w:pPr>
              <w:spacing w:after="0" w:line="276" w:lineRule="auto"/>
            </w:pPr>
            <w:r>
              <w:rPr>
                <w:b/>
              </w:rPr>
            </w:r>
          </w:p>
        </w:tc>
        <w:tc>
          <w:tcPr>
            <w:tcW w:type="dxa" w:w="1689"/>
            <w:shd w:val="clear" w:color="auto" w:fill="F3F4F6"/>
          </w:tcPr>
          <w:p>
            <w:pPr>
              <w:spacing w:after="0" w:line="276" w:lineRule="auto"/>
              <w:jc w:val="right"/>
            </w:pPr>
            <w:r>
              <w:rPr>
                <w:b/>
              </w:rPr>
              <w:t>12,400,000</w:t>
            </w:r>
          </w:p>
        </w:tc>
      </w:tr>
    </w:tbl>
    <w:p>
      <w:pPr>
        <w:keepNext/>
        <w:jc w:val="center"/>
      </w:pPr>
      <w:r>
        <w:drawing>
          <wp:inline xmlns:a="http://schemas.openxmlformats.org/drawingml/2006/main" xmlns:pic="http://schemas.openxmlformats.org/drawingml/2006/picture">
            <wp:extent cx="5400000" cy="1681714"/>
            <wp:docPr id="2" name="Picture 2"/>
            <wp:cNvGraphicFramePr>
              <a:graphicFrameLocks noChangeAspect="1"/>
            </wp:cNvGraphicFramePr>
            <a:graphic>
              <a:graphicData uri="http://schemas.openxmlformats.org/drawingml/2006/picture">
                <pic:pic>
                  <pic:nvPicPr>
                    <pic:cNvPr id="0" name="chart-2.png"/>
                    <pic:cNvPicPr/>
                  </pic:nvPicPr>
                  <pic:blipFill>
                    <a:blip r:embed="rId12"/>
                    <a:stretch>
                      <a:fillRect/>
                    </a:stretch>
                  </pic:blipFill>
                  <pic:spPr>
                    <a:xfrm>
                      <a:off x="0" y="0"/>
                      <a:ext cx="5400000" cy="1681714"/>
                    </a:xfrm>
                    <a:prstGeom prst="rect"/>
                  </pic:spPr>
                </pic:pic>
              </a:graphicData>
            </a:graphic>
          </wp:inline>
        </w:drawing>
      </w:r>
    </w:p>
    <w:p>
      <w:pPr>
        <w:jc w:val="center"/>
      </w:pPr>
      <w:r>
        <w:rPr>
          <w:i/>
          <w:color w:val="6B7280"/>
          <w:sz w:val="18"/>
        </w:rPr>
        <w:t>Figure 2. Estimated Cost (KES)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Note on Cost Estimates.</w:t>
            </w:r>
            <w:r>
              <w:t xml:space="preserve"> </w:t>
            </w:r>
            <w:r>
              <w:t>All costs listed above are realistic indicative figures for the Nairobi setting. Actual quotes may vary based on vendor negotiations and import duty fluctuations. Confirm current supplier prices before submission.</w:t>
            </w:r>
          </w:p>
        </w:tc>
      </w:tr>
    </w:tbl>
    <w:p>
      <w:pPr>
        <w:spacing w:after="40"/>
      </w:pPr>
    </w:p>
    <w:p>
      <w:pPr>
        <w:pStyle w:val="Heading2"/>
      </w:pPr>
      <w:r>
        <w:t>12-Month Revenue Projection (KES)</w:t>
      </w:r>
    </w:p>
    <w:p>
      <w:r>
        <w:t>Revenue projections are based on a phased occupancy model across three storage zones: Leafy Greens, Fruits, and Root Vegetables. Initial adoption is expected to be slow as traders test the service, with occupancy rising from 20% in Month 1 to 65% by Month 12. Pricing remains fixed at indicative market rates, subject to confirmation of current trader willingness-to-pay surveys.</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KES 180,000</w:t>
            </w:r>
          </w:p>
          <w:p>
            <w:r>
              <w:rPr>
                <w:b/>
                <w:sz w:val="19"/>
              </w:rPr>
              <w:t>Month 1 Revenue</w:t>
            </w:r>
          </w:p>
          <w:p>
            <w:r>
              <w:rPr>
                <w:color w:val="6B7280"/>
                <w:sz w:val="17"/>
              </w:rPr>
              <w:t>Based on 20% occupancy of 300 crates</w:t>
            </w:r>
          </w:p>
        </w:tc>
        <w:tc>
          <w:tcPr>
            <w:tcW w:type="dxa" w:w="3249"/>
            <w:shd w:val="clear" w:color="auto" w:fill="EFF1F3"/>
            <w:tcBorders>
              <w:top w:val="single" w:sz="18" w:color="1F3A5F"/>
              <w:left w:val="nil"/>
              <w:bottom w:val="nil"/>
              <w:right w:val="nil"/>
            </w:tcBorders>
          </w:tcPr>
          <w:p>
            <w:pPr>
              <w:spacing w:after="0"/>
            </w:pPr>
            <w:r>
              <w:rPr>
                <w:b/>
                <w:color w:val="1F3A5F"/>
                <w:sz w:val="36"/>
              </w:rPr>
              <w:t>KES 450,000</w:t>
            </w:r>
          </w:p>
          <w:p>
            <w:r>
              <w:rPr>
                <w:b/>
                <w:sz w:val="19"/>
              </w:rPr>
              <w:t>Month 6 Revenue</w:t>
            </w:r>
          </w:p>
          <w:p>
            <w:r>
              <w:rPr>
                <w:color w:val="6B7280"/>
                <w:sz w:val="17"/>
              </w:rPr>
              <w:t>Based on 45% occupancy and seasonal demand</w:t>
            </w:r>
          </w:p>
        </w:tc>
        <w:tc>
          <w:tcPr>
            <w:tcW w:type="dxa" w:w="3249"/>
            <w:shd w:val="clear" w:color="auto" w:fill="EFF1F3"/>
            <w:tcBorders>
              <w:top w:val="single" w:sz="18" w:color="1F3A5F"/>
              <w:left w:val="nil"/>
              <w:bottom w:val="nil"/>
              <w:right w:val="nil"/>
            </w:tcBorders>
          </w:tcPr>
          <w:p>
            <w:pPr>
              <w:spacing w:after="0"/>
            </w:pPr>
            <w:r>
              <w:rPr>
                <w:b/>
                <w:color w:val="1F3A5F"/>
                <w:sz w:val="36"/>
              </w:rPr>
              <w:t>KES 780,000</w:t>
            </w:r>
          </w:p>
          <w:p>
            <w:r>
              <w:rPr>
                <w:b/>
                <w:sz w:val="19"/>
              </w:rPr>
              <w:t>Month 12 Revenue</w:t>
            </w:r>
          </w:p>
          <w:p>
            <w:r>
              <w:rPr>
                <w:color w:val="6B7280"/>
                <w:sz w:val="17"/>
              </w:rPr>
              <w:t>Based on 65% steady-state occupancy</w:t>
            </w:r>
          </w:p>
        </w:tc>
      </w:tr>
    </w:tbl>
    <w:p>
      <w:pPr>
        <w:spacing w:after="4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Financial Estimate Disclaimer.</w:t>
            </w:r>
            <w:r>
              <w:t xml:space="preserve"> </w:t>
            </w:r>
            <w:r>
              <w:t>These figures are realistic indicative estimates for the Nairobi market setting. Confirm current supplier prices and trader volume data before final submission of investment materials.</w:t>
            </w:r>
          </w:p>
        </w:tc>
      </w:tr>
    </w:tbl>
    <w:p>
      <w:pPr>
        <w:spacing w:after="40"/>
      </w:pP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091"/>
        <w:gridCol w:w="3660"/>
        <w:gridCol w:w="3660"/>
      </w:tblGrid>
      <w:tr>
        <w:trPr>
          <w:tblHeader w:val="true"/>
          <w:cantSplit/>
        </w:trPr>
        <w:tc>
          <w:tcPr>
            <w:tcW w:type="dxa" w:w="2091"/>
            <w:shd w:val="clear" w:color="auto" w:fill="DFE3E8"/>
          </w:tcPr>
          <w:p>
            <w:pPr>
              <w:spacing w:after="0" w:line="276" w:lineRule="auto"/>
            </w:pPr>
            <w:r>
              <w:rPr>
                <w:b/>
              </w:rPr>
              <w:t>Quarter</w:t>
            </w:r>
          </w:p>
        </w:tc>
        <w:tc>
          <w:tcPr>
            <w:tcW w:type="dxa" w:w="3660"/>
            <w:shd w:val="clear" w:color="auto" w:fill="DFE3E8"/>
          </w:tcPr>
          <w:p>
            <w:pPr>
              <w:spacing w:after="0" w:line="276" w:lineRule="auto"/>
            </w:pPr>
            <w:r>
              <w:rPr>
                <w:b/>
              </w:rPr>
              <w:t>Avg. Occupancy (%)</w:t>
            </w:r>
          </w:p>
        </w:tc>
        <w:tc>
          <w:tcPr>
            <w:tcW w:type="dxa" w:w="3660"/>
            <w:shd w:val="clear" w:color="auto" w:fill="DFE3E8"/>
          </w:tcPr>
          <w:p>
            <w:pPr>
              <w:spacing w:after="0" w:line="276" w:lineRule="auto"/>
            </w:pPr>
            <w:r>
              <w:rPr>
                <w:b/>
              </w:rPr>
              <w:t>Estimated Monthly Revenue (KES)</w:t>
            </w:r>
          </w:p>
        </w:tc>
      </w:tr>
      <w:tr>
        <w:tc>
          <w:tcPr>
            <w:tcW w:type="dxa" w:w="2091"/>
          </w:tcPr>
          <w:p>
            <w:pPr>
              <w:spacing w:after="0" w:line="276" w:lineRule="auto"/>
            </w:pPr>
            <w:r>
              <w:t>Q1</w:t>
            </w:r>
          </w:p>
        </w:tc>
        <w:tc>
          <w:tcPr>
            <w:tcW w:type="dxa" w:w="3660"/>
          </w:tcPr>
          <w:p>
            <w:pPr>
              <w:spacing w:after="0" w:line="276" w:lineRule="auto"/>
              <w:jc w:val="right"/>
            </w:pPr>
            <w:r>
              <w:t>25%</w:t>
            </w:r>
          </w:p>
        </w:tc>
        <w:tc>
          <w:tcPr>
            <w:tcW w:type="dxa" w:w="3660"/>
          </w:tcPr>
          <w:p>
            <w:pPr>
              <w:spacing w:after="0" w:line="276" w:lineRule="auto"/>
              <w:jc w:val="right"/>
            </w:pPr>
            <w:r>
              <w:t>225,000</w:t>
            </w:r>
          </w:p>
        </w:tc>
      </w:tr>
      <w:tr>
        <w:tc>
          <w:tcPr>
            <w:tcW w:type="dxa" w:w="2091"/>
          </w:tcPr>
          <w:p>
            <w:pPr>
              <w:spacing w:after="0" w:line="276" w:lineRule="auto"/>
            </w:pPr>
            <w:r>
              <w:t>Q2</w:t>
            </w:r>
          </w:p>
        </w:tc>
        <w:tc>
          <w:tcPr>
            <w:tcW w:type="dxa" w:w="3660"/>
          </w:tcPr>
          <w:p>
            <w:pPr>
              <w:spacing w:after="0" w:line="276" w:lineRule="auto"/>
              <w:jc w:val="right"/>
            </w:pPr>
            <w:r>
              <w:t>40%</w:t>
            </w:r>
          </w:p>
        </w:tc>
        <w:tc>
          <w:tcPr>
            <w:tcW w:type="dxa" w:w="3660"/>
          </w:tcPr>
          <w:p>
            <w:pPr>
              <w:spacing w:after="0" w:line="276" w:lineRule="auto"/>
              <w:jc w:val="right"/>
            </w:pPr>
            <w:r>
              <w:t>360,000</w:t>
            </w:r>
          </w:p>
        </w:tc>
      </w:tr>
      <w:tr>
        <w:tc>
          <w:tcPr>
            <w:tcW w:type="dxa" w:w="2091"/>
          </w:tcPr>
          <w:p>
            <w:pPr>
              <w:spacing w:after="0" w:line="276" w:lineRule="auto"/>
            </w:pPr>
            <w:r>
              <w:t>Q3</w:t>
            </w:r>
          </w:p>
        </w:tc>
        <w:tc>
          <w:tcPr>
            <w:tcW w:type="dxa" w:w="3660"/>
          </w:tcPr>
          <w:p>
            <w:pPr>
              <w:spacing w:after="0" w:line="276" w:lineRule="auto"/>
              <w:jc w:val="right"/>
            </w:pPr>
            <w:r>
              <w:t>55%</w:t>
            </w:r>
          </w:p>
        </w:tc>
        <w:tc>
          <w:tcPr>
            <w:tcW w:type="dxa" w:w="3660"/>
          </w:tcPr>
          <w:p>
            <w:pPr>
              <w:spacing w:after="0" w:line="276" w:lineRule="auto"/>
              <w:jc w:val="right"/>
            </w:pPr>
            <w:r>
              <w:t>495,000</w:t>
            </w:r>
          </w:p>
        </w:tc>
      </w:tr>
      <w:tr>
        <w:tc>
          <w:tcPr>
            <w:tcW w:type="dxa" w:w="2091"/>
          </w:tcPr>
          <w:p>
            <w:pPr>
              <w:spacing w:after="0" w:line="276" w:lineRule="auto"/>
            </w:pPr>
            <w:r>
              <w:t>Q4</w:t>
            </w:r>
          </w:p>
        </w:tc>
        <w:tc>
          <w:tcPr>
            <w:tcW w:type="dxa" w:w="3660"/>
          </w:tcPr>
          <w:p>
            <w:pPr>
              <w:spacing w:after="0" w:line="276" w:lineRule="auto"/>
              <w:jc w:val="right"/>
            </w:pPr>
            <w:r>
              <w:t>65%</w:t>
            </w:r>
          </w:p>
        </w:tc>
        <w:tc>
          <w:tcPr>
            <w:tcW w:type="dxa" w:w="3660"/>
          </w:tcPr>
          <w:p>
            <w:pPr>
              <w:spacing w:after="0" w:line="276" w:lineRule="auto"/>
              <w:jc w:val="right"/>
            </w:pPr>
            <w:r>
              <w:t>585,000</w:t>
            </w:r>
          </w:p>
        </w:tc>
      </w:tr>
    </w:tbl>
    <w:p>
      <w:pPr>
        <w:keepNext/>
        <w:jc w:val="center"/>
      </w:pPr>
      <w:r>
        <w:drawing>
          <wp:inline xmlns:a="http://schemas.openxmlformats.org/drawingml/2006/main" xmlns:pic="http://schemas.openxmlformats.org/drawingml/2006/picture">
            <wp:extent cx="5400000" cy="1249714"/>
            <wp:docPr id="3" name="Picture 3"/>
            <wp:cNvGraphicFramePr>
              <a:graphicFrameLocks noChangeAspect="1"/>
            </wp:cNvGraphicFramePr>
            <a:graphic>
              <a:graphicData uri="http://schemas.openxmlformats.org/drawingml/2006/picture">
                <pic:pic>
                  <pic:nvPicPr>
                    <pic:cNvPr id="0" name="chart-3.png"/>
                    <pic:cNvPicPr/>
                  </pic:nvPicPr>
                  <pic:blipFill>
                    <a:blip r:embed="rId13"/>
                    <a:stretch>
                      <a:fillRect/>
                    </a:stretch>
                  </pic:blipFill>
                  <pic:spPr>
                    <a:xfrm>
                      <a:off x="0" y="0"/>
                      <a:ext cx="5400000" cy="1249714"/>
                    </a:xfrm>
                    <a:prstGeom prst="rect"/>
                  </pic:spPr>
                </pic:pic>
              </a:graphicData>
            </a:graphic>
          </wp:inline>
        </w:drawing>
      </w:r>
    </w:p>
    <w:p>
      <w:pPr>
        <w:jc w:val="center"/>
      </w:pPr>
      <w:r>
        <w:rPr>
          <w:i/>
          <w:color w:val="6B7280"/>
          <w:sz w:val="18"/>
        </w:rPr>
        <w:t>Figure 3. Avg. Occupancy (%)</w:t>
      </w:r>
    </w:p>
    <w:p>
      <w:pPr>
        <w:pStyle w:val="Heading2"/>
      </w:pPr>
      <w:r>
        <w:t>Market-Integrated Operations Workflow</w:t>
      </w:r>
    </w:p>
    <w:p>
      <w:r>
        <w:t>Baridi Fresh operates a daily cycle aligned with Marikiti Market trading hours. Crate intake begins at 4:00 AM, when traders deliver produce for storage; each crate is tagged and logged. Dispatch occurs between 5:00 PM and 7:00 PM, allowing traders to collect their goods for evening sales or next-day market. Temperature monitoring is continuous: cold rooms are checked every two hours, with readings recorded on a manual log and a backup digital sensor. Solar battery management involves daily checks of charge levels and automatic switchover to grid or generator during low-sun periods. A market liaison officer coordinates with Marikiti Market Management and trader associations to schedule crate availability, resolve disputes, and gather feedback. The workflow is designed to be low-tech and resilient, with clear roles for two operations assistants and one supervisor. All activities are documented in a daily operations log for accountability and performance review.</w:t>
      </w:r>
    </w:p>
    <w:p>
      <w:pPr>
        <w:pStyle w:val="Heading2"/>
      </w:pPr>
      <w:r>
        <w:t>Core Implementation Team and Local Partnerships</w:t>
      </w:r>
    </w:p>
    <w:p>
      <w:r>
        <w:t>Baridi Fresh will be led by a compact core team combining cold-chain operations, solar energy maintenance, and market trader relations. The founding team includes an Operations Manager with experience in market logistics, a Solar Technician certified in photovoltaic and battery systems, and a Trader Liaison Officer recruited from the Marikiti trading community. Additional support will be provided by a part-time accountant and a security contractor. Formal partnerships will be established with Marikiti Market Management for site access and waste management, and with a Kenyan solar engineering firm for installation, maintenance, and performance monitoring. All roles and partnership agreements are indicative and subject to confirmation during the launch phase.</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Team and Partnership Note.</w:t>
            </w:r>
            <w:r>
              <w:t xml:space="preserve"> </w:t>
            </w:r>
            <w:r>
              <w:t>The team structure and partnership arrangements described are indicative estimates. Confirm the availability and terms of the solar engineering firm and finalize the site access agreement with Marikiti Market Management before launch.</w:t>
            </w:r>
          </w:p>
        </w:tc>
      </w:tr>
    </w:tbl>
    <w:p>
      <w:pPr>
        <w:spacing w:after="40"/>
      </w:pPr>
    </w:p>
    <w:p>
      <w:pPr>
        <w:pStyle w:val="Heading2"/>
      </w:pPr>
      <w:r>
        <w:t>Key Operational and Market Risks with Mitigation Actions</w:t>
      </w:r>
    </w:p>
    <w:p>
      <w:r>
        <w:t>Baridi Fresh faces three priority risks: grid dependency, crate loss, and demand volatility. Mitigation actions are low-cost and operationally embedded.</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567"/>
        <w:gridCol w:w="1069"/>
        <w:gridCol w:w="856"/>
        <w:gridCol w:w="4919"/>
      </w:tblGrid>
      <w:tr>
        <w:trPr>
          <w:tblHeader w:val="true"/>
          <w:cantSplit/>
        </w:trPr>
        <w:tc>
          <w:tcPr>
            <w:tcW w:type="dxa" w:w="2567"/>
            <w:shd w:val="clear" w:color="auto" w:fill="DFE3E8"/>
          </w:tcPr>
          <w:p>
            <w:pPr>
              <w:spacing w:after="0" w:line="276" w:lineRule="auto"/>
            </w:pPr>
            <w:r>
              <w:rPr>
                <w:b/>
              </w:rPr>
              <w:t>Risk</w:t>
            </w:r>
          </w:p>
        </w:tc>
        <w:tc>
          <w:tcPr>
            <w:tcW w:type="dxa" w:w="1069"/>
            <w:shd w:val="clear" w:color="auto" w:fill="DFE3E8"/>
          </w:tcPr>
          <w:p>
            <w:pPr>
              <w:spacing w:after="0" w:line="276" w:lineRule="auto"/>
            </w:pPr>
            <w:r>
              <w:rPr>
                <w:b/>
              </w:rPr>
              <w:t>Likelihood</w:t>
            </w:r>
          </w:p>
        </w:tc>
        <w:tc>
          <w:tcPr>
            <w:tcW w:type="dxa" w:w="856"/>
            <w:shd w:val="clear" w:color="auto" w:fill="DFE3E8"/>
          </w:tcPr>
          <w:p>
            <w:pPr>
              <w:spacing w:after="0" w:line="276" w:lineRule="auto"/>
            </w:pPr>
            <w:r>
              <w:rPr>
                <w:b/>
              </w:rPr>
              <w:t>Impact</w:t>
            </w:r>
          </w:p>
        </w:tc>
        <w:tc>
          <w:tcPr>
            <w:tcW w:type="dxa" w:w="4919"/>
            <w:shd w:val="clear" w:color="auto" w:fill="DFE3E8"/>
          </w:tcPr>
          <w:p>
            <w:pPr>
              <w:spacing w:after="0" w:line="276" w:lineRule="auto"/>
            </w:pPr>
            <w:r>
              <w:rPr>
                <w:b/>
              </w:rPr>
              <w:t>Mitigation Action</w:t>
            </w:r>
          </w:p>
        </w:tc>
      </w:tr>
      <w:tr>
        <w:tc>
          <w:tcPr>
            <w:tcW w:type="dxa" w:w="2567"/>
          </w:tcPr>
          <w:p>
            <w:pPr>
              <w:spacing w:after="0" w:line="276" w:lineRule="auto"/>
            </w:pPr>
            <w:r>
              <w:t>Grid dependency fallback</w:t>
            </w:r>
          </w:p>
        </w:tc>
        <w:tc>
          <w:tcPr>
            <w:tcW w:type="dxa" w:w="1069"/>
          </w:tcPr>
          <w:p>
            <w:pPr>
              <w:spacing w:after="0" w:line="276" w:lineRule="auto"/>
            </w:pPr>
            <w:r>
              <w:t>Medium</w:t>
            </w:r>
          </w:p>
        </w:tc>
        <w:tc>
          <w:tcPr>
            <w:tcW w:type="dxa" w:w="856"/>
          </w:tcPr>
          <w:p>
            <w:pPr>
              <w:spacing w:after="0" w:line="276" w:lineRule="auto"/>
            </w:pPr>
            <w:r>
              <w:t>High</w:t>
            </w:r>
          </w:p>
        </w:tc>
        <w:tc>
          <w:tcPr>
            <w:tcW w:type="dxa" w:w="4919"/>
          </w:tcPr>
          <w:p>
            <w:pPr>
              <w:spacing w:after="0" w:line="276" w:lineRule="auto"/>
            </w:pPr>
            <w:r>
              <w:t>Solar PV with battery bank sized for 48 hours autonomy; backup diesel generator for extended outages; scheduled battery health checks.</w:t>
            </w:r>
          </w:p>
        </w:tc>
      </w:tr>
      <w:tr>
        <w:tc>
          <w:tcPr>
            <w:tcW w:type="dxa" w:w="2567"/>
          </w:tcPr>
          <w:p>
            <w:pPr>
              <w:spacing w:after="0" w:line="276" w:lineRule="auto"/>
            </w:pPr>
            <w:r>
              <w:t>Crate loss or damage</w:t>
            </w:r>
          </w:p>
        </w:tc>
        <w:tc>
          <w:tcPr>
            <w:tcW w:type="dxa" w:w="1069"/>
          </w:tcPr>
          <w:p>
            <w:pPr>
              <w:spacing w:after="0" w:line="276" w:lineRule="auto"/>
            </w:pPr>
            <w:r>
              <w:t>High</w:t>
            </w:r>
          </w:p>
        </w:tc>
        <w:tc>
          <w:tcPr>
            <w:tcW w:type="dxa" w:w="856"/>
          </w:tcPr>
          <w:p>
            <w:pPr>
              <w:spacing w:after="0" w:line="276" w:lineRule="auto"/>
            </w:pPr>
            <w:r>
              <w:t>Medium</w:t>
            </w:r>
          </w:p>
        </w:tc>
        <w:tc>
          <w:tcPr>
            <w:tcW w:type="dxa" w:w="4919"/>
          </w:tcPr>
          <w:p>
            <w:pPr>
              <w:spacing w:after="0" w:line="276" w:lineRule="auto"/>
            </w:pPr>
            <w:r>
              <w:t>Refundable deposit per crate (KES 200); daily reconciliation with traders; durable UV-stabilized crates; CCTV at dispatch.</w:t>
            </w:r>
          </w:p>
        </w:tc>
      </w:tr>
      <w:tr>
        <w:tc>
          <w:tcPr>
            <w:tcW w:type="dxa" w:w="2567"/>
          </w:tcPr>
          <w:p>
            <w:pPr>
              <w:spacing w:after="0" w:line="276" w:lineRule="auto"/>
            </w:pPr>
            <w:r>
              <w:t>Demand volatility</w:t>
            </w:r>
          </w:p>
        </w:tc>
        <w:tc>
          <w:tcPr>
            <w:tcW w:type="dxa" w:w="1069"/>
          </w:tcPr>
          <w:p>
            <w:pPr>
              <w:spacing w:after="0" w:line="276" w:lineRule="auto"/>
            </w:pPr>
            <w:r>
              <w:t>Medium</w:t>
            </w:r>
          </w:p>
        </w:tc>
        <w:tc>
          <w:tcPr>
            <w:tcW w:type="dxa" w:w="856"/>
          </w:tcPr>
          <w:p>
            <w:pPr>
              <w:spacing w:after="0" w:line="276" w:lineRule="auto"/>
            </w:pPr>
            <w:r>
              <w:t>Medium</w:t>
            </w:r>
          </w:p>
        </w:tc>
        <w:tc>
          <w:tcPr>
            <w:tcW w:type="dxa" w:w="4919"/>
          </w:tcPr>
          <w:p>
            <w:pPr>
              <w:spacing w:after="0" w:line="276" w:lineRule="auto"/>
            </w:pPr>
            <w:r>
              <w:t>Tiered pricing with volume discounts; pre-booking via SMS; flexible daily rental; diversify to nearby markets.</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Note.</w:t>
            </w:r>
            <w:r>
              <w:t xml:space="preserve"> </w:t>
            </w:r>
            <w:r>
              <w:t>These risks are indicative for a fictional example. Confirm current supplier prices and local regulations before submission.</w:t>
            </w:r>
          </w:p>
        </w:tc>
      </w:tr>
    </w:tbl>
    <w:p>
      <w:pPr>
        <w:spacing w:after="40"/>
      </w:pPr>
    </w:p>
    <w:p>
      <w:pPr>
        <w:pStyle w:val="Heading2"/>
      </w:pPr>
      <w:r>
        <w:t>Funding Ask: KES 12.4 Million for Launch and First-Year Sustainability</w:t>
      </w:r>
    </w:p>
    <w:p>
      <w:r>
        <w:t>Baridi Fresh requests KES 12.4 million to launch and sustain a solar-powered cold-storage hub serving small-scale vegetable and fruit traders at Marikiti Market in Nairobi. The funding combines a KES 7.4 million grant for capital equipment with a KES 5.0 million concessional loan for working capital and contingency. All figures are indicative estimates; confirm current supplier prices, import duties, and prevailing interest rates before submission.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3508"/>
        <w:gridCol w:w="1027"/>
        <w:gridCol w:w="1027"/>
        <w:gridCol w:w="3850"/>
      </w:tblGrid>
      <w:tr>
        <w:trPr>
          <w:tblHeader w:val="true"/>
          <w:cantSplit/>
        </w:trPr>
        <w:tc>
          <w:tcPr>
            <w:tcW w:type="dxa" w:w="3508"/>
            <w:shd w:val="clear" w:color="auto" w:fill="DFE3E8"/>
          </w:tcPr>
          <w:p>
            <w:pPr>
              <w:spacing w:after="0" w:line="276" w:lineRule="auto"/>
            </w:pPr>
            <w:r>
              <w:rPr>
                <w:b/>
              </w:rPr>
              <w:t>Use of Proceeds</w:t>
            </w:r>
          </w:p>
        </w:tc>
        <w:tc>
          <w:tcPr>
            <w:tcW w:type="dxa" w:w="1027"/>
            <w:shd w:val="clear" w:color="auto" w:fill="DFE3E8"/>
          </w:tcPr>
          <w:p>
            <w:pPr>
              <w:spacing w:after="0" w:line="276" w:lineRule="auto"/>
            </w:pPr>
            <w:r>
              <w:rPr>
                <w:b/>
              </w:rPr>
              <w:t>Amount (KES)</w:t>
            </w:r>
          </w:p>
        </w:tc>
        <w:tc>
          <w:tcPr>
            <w:tcW w:type="dxa" w:w="1027"/>
            <w:shd w:val="clear" w:color="auto" w:fill="DFE3E8"/>
          </w:tcPr>
          <w:p>
            <w:pPr>
              <w:spacing w:after="0" w:line="276" w:lineRule="auto"/>
            </w:pPr>
            <w:r>
              <w:rPr>
                <w:b/>
              </w:rPr>
              <w:t>Share of Ask</w:t>
            </w:r>
          </w:p>
        </w:tc>
        <w:tc>
          <w:tcPr>
            <w:tcW w:type="dxa" w:w="3850"/>
            <w:shd w:val="clear" w:color="auto" w:fill="DFE3E8"/>
          </w:tcPr>
          <w:p>
            <w:pPr>
              <w:spacing w:after="0" w:line="276" w:lineRule="auto"/>
            </w:pPr>
            <w:r>
              <w:rPr>
                <w:b/>
              </w:rPr>
              <w:t>Notes</w:t>
            </w:r>
          </w:p>
        </w:tc>
      </w:tr>
      <w:tr>
        <w:tc>
          <w:tcPr>
            <w:tcW w:type="dxa" w:w="3508"/>
          </w:tcPr>
          <w:p>
            <w:pPr>
              <w:spacing w:after="0" w:line="276" w:lineRule="auto"/>
            </w:pPr>
            <w:r>
              <w:t>Solar PV system and battery bank</w:t>
            </w:r>
          </w:p>
        </w:tc>
        <w:tc>
          <w:tcPr>
            <w:tcW w:type="dxa" w:w="1027"/>
          </w:tcPr>
          <w:p>
            <w:pPr>
              <w:spacing w:after="0" w:line="276" w:lineRule="auto"/>
              <w:jc w:val="right"/>
            </w:pPr>
            <w:r>
              <w:t>3,200,000</w:t>
            </w:r>
          </w:p>
        </w:tc>
        <w:tc>
          <w:tcPr>
            <w:tcW w:type="dxa" w:w="1027"/>
          </w:tcPr>
          <w:p>
            <w:pPr>
              <w:spacing w:after="0" w:line="276" w:lineRule="auto"/>
              <w:jc w:val="right"/>
            </w:pPr>
            <w:r>
              <w:t>25.8%</w:t>
            </w:r>
          </w:p>
        </w:tc>
        <w:tc>
          <w:tcPr>
            <w:tcW w:type="dxa" w:w="3850"/>
          </w:tcPr>
          <w:p>
            <w:pPr>
              <w:spacing w:after="0" w:line="276" w:lineRule="auto"/>
            </w:pPr>
            <w:r>
              <w:t>Estimated; confirm supplier quotes</w:t>
            </w:r>
          </w:p>
        </w:tc>
      </w:tr>
      <w:tr>
        <w:tc>
          <w:tcPr>
            <w:tcW w:type="dxa" w:w="3508"/>
          </w:tcPr>
          <w:p>
            <w:pPr>
              <w:spacing w:after="0" w:line="276" w:lineRule="auto"/>
            </w:pPr>
            <w:r>
              <w:t>Cold room fabrication and insulation</w:t>
            </w:r>
          </w:p>
        </w:tc>
        <w:tc>
          <w:tcPr>
            <w:tcW w:type="dxa" w:w="1027"/>
          </w:tcPr>
          <w:p>
            <w:pPr>
              <w:spacing w:after="0" w:line="276" w:lineRule="auto"/>
              <w:jc w:val="right"/>
            </w:pPr>
            <w:r>
              <w:t>2,400,000</w:t>
            </w:r>
          </w:p>
        </w:tc>
        <w:tc>
          <w:tcPr>
            <w:tcW w:type="dxa" w:w="1027"/>
          </w:tcPr>
          <w:p>
            <w:pPr>
              <w:spacing w:after="0" w:line="276" w:lineRule="auto"/>
              <w:jc w:val="right"/>
            </w:pPr>
            <w:r>
              <w:t>19.4%</w:t>
            </w:r>
          </w:p>
        </w:tc>
        <w:tc>
          <w:tcPr>
            <w:tcW w:type="dxa" w:w="3850"/>
          </w:tcPr>
          <w:p>
            <w:pPr>
              <w:spacing w:after="0" w:line="276" w:lineRule="auto"/>
            </w:pPr>
            <w:r>
              <w:t>Estimated; confirm with local fabricators</w:t>
            </w:r>
          </w:p>
        </w:tc>
      </w:tr>
      <w:tr>
        <w:tc>
          <w:tcPr>
            <w:tcW w:type="dxa" w:w="3508"/>
          </w:tcPr>
          <w:p>
            <w:pPr>
              <w:spacing w:after="0" w:line="276" w:lineRule="auto"/>
            </w:pPr>
            <w:r>
              <w:t>Crates (500 units) and handling equipment</w:t>
            </w:r>
          </w:p>
        </w:tc>
        <w:tc>
          <w:tcPr>
            <w:tcW w:type="dxa" w:w="1027"/>
          </w:tcPr>
          <w:p>
            <w:pPr>
              <w:spacing w:after="0" w:line="276" w:lineRule="auto"/>
              <w:jc w:val="right"/>
            </w:pPr>
            <w:r>
              <w:t>800,000</w:t>
            </w:r>
          </w:p>
        </w:tc>
        <w:tc>
          <w:tcPr>
            <w:tcW w:type="dxa" w:w="1027"/>
          </w:tcPr>
          <w:p>
            <w:pPr>
              <w:spacing w:after="0" w:line="276" w:lineRule="auto"/>
              <w:jc w:val="right"/>
            </w:pPr>
            <w:r>
              <w:t>6.5%</w:t>
            </w:r>
          </w:p>
        </w:tc>
        <w:tc>
          <w:tcPr>
            <w:tcW w:type="dxa" w:w="3850"/>
          </w:tcPr>
          <w:p>
            <w:pPr>
              <w:spacing w:after="0" w:line="276" w:lineRule="auto"/>
            </w:pPr>
            <w:r>
              <w:t>Estimated; confirm current crate prices</w:t>
            </w:r>
          </w:p>
        </w:tc>
      </w:tr>
      <w:tr>
        <w:tc>
          <w:tcPr>
            <w:tcW w:type="dxa" w:w="3508"/>
          </w:tcPr>
          <w:p>
            <w:pPr>
              <w:spacing w:after="0" w:line="276" w:lineRule="auto"/>
            </w:pPr>
            <w:r>
              <w:t>Site preparation and civil works</w:t>
            </w:r>
          </w:p>
        </w:tc>
        <w:tc>
          <w:tcPr>
            <w:tcW w:type="dxa" w:w="1027"/>
          </w:tcPr>
          <w:p>
            <w:pPr>
              <w:spacing w:after="0" w:line="276" w:lineRule="auto"/>
              <w:jc w:val="right"/>
            </w:pPr>
            <w:r>
              <w:t>801,900</w:t>
            </w:r>
          </w:p>
        </w:tc>
        <w:tc>
          <w:tcPr>
            <w:tcW w:type="dxa" w:w="1027"/>
          </w:tcPr>
          <w:p>
            <w:pPr>
              <w:spacing w:after="0" w:line="276" w:lineRule="auto"/>
              <w:jc w:val="right"/>
            </w:pPr>
            <w:r>
              <w:t>8.1%</w:t>
            </w:r>
          </w:p>
        </w:tc>
        <w:tc>
          <w:tcPr>
            <w:tcW w:type="dxa" w:w="3850"/>
          </w:tcPr>
          <w:p>
            <w:pPr>
              <w:spacing w:after="0" w:line="276" w:lineRule="auto"/>
            </w:pPr>
            <w:r>
              <w:t>Estimated; confirm with market management</w:t>
            </w:r>
          </w:p>
        </w:tc>
      </w:tr>
      <w:tr>
        <w:tc>
          <w:tcPr>
            <w:tcW w:type="dxa" w:w="3508"/>
          </w:tcPr>
          <w:p>
            <w:pPr>
              <w:spacing w:after="0" w:line="276" w:lineRule="auto"/>
            </w:pPr>
            <w:r>
              <w:t>Regulatory compliance and permits</w:t>
            </w:r>
          </w:p>
        </w:tc>
        <w:tc>
          <w:tcPr>
            <w:tcW w:type="dxa" w:w="1027"/>
          </w:tcPr>
          <w:p>
            <w:pPr>
              <w:spacing w:after="0" w:line="276" w:lineRule="auto"/>
              <w:jc w:val="right"/>
            </w:pPr>
            <w:r>
              <w:t>237,600</w:t>
            </w:r>
          </w:p>
        </w:tc>
        <w:tc>
          <w:tcPr>
            <w:tcW w:type="dxa" w:w="1027"/>
          </w:tcPr>
          <w:p>
            <w:pPr>
              <w:spacing w:after="0" w:line="276" w:lineRule="auto"/>
              <w:jc w:val="right"/>
            </w:pPr>
            <w:r>
              <w:t>2.4%</w:t>
            </w:r>
          </w:p>
        </w:tc>
        <w:tc>
          <w:tcPr>
            <w:tcW w:type="dxa" w:w="3850"/>
          </w:tcPr>
          <w:p>
            <w:pPr>
              <w:spacing w:after="0" w:line="276" w:lineRule="auto"/>
            </w:pPr>
            <w:r>
              <w:t>Estimated; confirm county fees</w:t>
            </w:r>
          </w:p>
        </w:tc>
      </w:tr>
      <w:tr>
        <w:tc>
          <w:tcPr>
            <w:tcW w:type="dxa" w:w="3508"/>
          </w:tcPr>
          <w:p>
            <w:pPr>
              <w:spacing w:after="0" w:line="276" w:lineRule="auto"/>
            </w:pPr>
            <w:r>
              <w:t>First-year working capital</w:t>
            </w:r>
          </w:p>
        </w:tc>
        <w:tc>
          <w:tcPr>
            <w:tcW w:type="dxa" w:w="1027"/>
          </w:tcPr>
          <w:p>
            <w:pPr>
              <w:spacing w:after="0" w:line="276" w:lineRule="auto"/>
              <w:jc w:val="right"/>
            </w:pPr>
            <w:r>
              <w:t>3,500,000</w:t>
            </w:r>
          </w:p>
        </w:tc>
        <w:tc>
          <w:tcPr>
            <w:tcW w:type="dxa" w:w="1027"/>
          </w:tcPr>
          <w:p>
            <w:pPr>
              <w:spacing w:after="0" w:line="276" w:lineRule="auto"/>
              <w:jc w:val="right"/>
            </w:pPr>
            <w:r>
              <w:t>28.2%</w:t>
            </w:r>
          </w:p>
        </w:tc>
        <w:tc>
          <w:tcPr>
            <w:tcW w:type="dxa" w:w="3850"/>
          </w:tcPr>
          <w:p>
            <w:pPr>
              <w:spacing w:after="0" w:line="276" w:lineRule="auto"/>
            </w:pPr>
            <w:r>
              <w:t>Estimated; covers salaries, maintenance, rent</w:t>
            </w:r>
          </w:p>
        </w:tc>
      </w:tr>
      <w:tr>
        <w:tc>
          <w:tcPr>
            <w:tcW w:type="dxa" w:w="3508"/>
          </w:tcPr>
          <w:p>
            <w:pPr>
              <w:spacing w:after="0" w:line="276" w:lineRule="auto"/>
            </w:pPr>
            <w:r>
              <w:t>Contingency reserve</w:t>
            </w:r>
          </w:p>
        </w:tc>
        <w:tc>
          <w:tcPr>
            <w:tcW w:type="dxa" w:w="1027"/>
          </w:tcPr>
          <w:p>
            <w:pPr>
              <w:spacing w:after="0" w:line="276" w:lineRule="auto"/>
              <w:jc w:val="right"/>
            </w:pPr>
            <w:r>
              <w:t>960,300</w:t>
            </w:r>
          </w:p>
        </w:tc>
        <w:tc>
          <w:tcPr>
            <w:tcW w:type="dxa" w:w="1027"/>
          </w:tcPr>
          <w:p>
            <w:pPr>
              <w:spacing w:after="0" w:line="276" w:lineRule="auto"/>
              <w:jc w:val="right"/>
            </w:pPr>
            <w:r>
              <w:t>9.7%</w:t>
            </w:r>
          </w:p>
        </w:tc>
        <w:tc>
          <w:tcPr>
            <w:tcW w:type="dxa" w:w="3850"/>
          </w:tcPr>
          <w:p>
            <w:pPr>
              <w:spacing w:after="0" w:line="276" w:lineRule="auto"/>
            </w:pPr>
            <w:r>
              <w:t>Estimated; for price and demand variability</w:t>
            </w:r>
          </w:p>
        </w:tc>
      </w:tr>
      <w:tr>
        <w:tc>
          <w:tcPr>
            <w:tcW w:type="dxa" w:w="3508"/>
            <w:shd w:val="clear" w:color="auto" w:fill="F3F4F6"/>
          </w:tcPr>
          <w:p>
            <w:pPr>
              <w:spacing w:after="0" w:line="276" w:lineRule="auto"/>
            </w:pPr>
            <w:r>
              <w:rPr>
                <w:b/>
              </w:rPr>
              <w:t>Total</w:t>
            </w:r>
          </w:p>
        </w:tc>
        <w:tc>
          <w:tcPr>
            <w:tcW w:type="dxa" w:w="1027"/>
            <w:shd w:val="clear" w:color="auto" w:fill="F3F4F6"/>
          </w:tcPr>
          <w:p>
            <w:pPr>
              <w:spacing w:after="0" w:line="276" w:lineRule="auto"/>
              <w:jc w:val="right"/>
            </w:pPr>
            <w:r>
              <w:rPr>
                <w:b/>
              </w:rPr>
              <w:t>11,899,800</w:t>
            </w:r>
          </w:p>
        </w:tc>
        <w:tc>
          <w:tcPr>
            <w:tcW w:type="dxa" w:w="1027"/>
            <w:shd w:val="clear" w:color="auto" w:fill="F3F4F6"/>
          </w:tcPr>
          <w:p>
            <w:pPr>
              <w:spacing w:after="0" w:line="276" w:lineRule="auto"/>
              <w:jc w:val="right"/>
            </w:pPr>
            <w:r>
              <w:rPr>
                <w:b/>
              </w:rPr>
              <w:t>100%</w:t>
            </w:r>
          </w:p>
        </w:tc>
        <w:tc>
          <w:tcPr>
            <w:tcW w:type="dxa" w:w="3850"/>
            <w:shd w:val="clear" w:color="auto" w:fill="F3F4F6"/>
          </w:tcPr>
          <w:p>
            <w:pPr>
              <w:spacing w:after="0" w:line="276" w:lineRule="auto"/>
            </w:pPr>
            <w:r>
              <w:rPr>
                <w:b/>
              </w:rPr>
              <w:t>Indicative estimate</w:t>
            </w:r>
          </w:p>
        </w:tc>
      </w:tr>
    </w:tbl>
    <w:p>
      <w:pPr>
        <w:spacing w:after="0"/>
      </w:pPr>
    </w:p>
    <w:tbl>
      <w:tblPr>
        <w:tblW w:type="auto" w:w="0"/>
        <w:tblLook w:firstColumn="1" w:firstRow="1" w:lastColumn="0" w:lastRow="0" w:noHBand="0" w:noVBand="1" w:val="04A0"/>
      </w:tblPr>
      <w:tblGrid>
        <w:gridCol w:w="2436"/>
        <w:gridCol w:w="2436"/>
        <w:gridCol w:w="2436"/>
        <w:gridCol w:w="2436"/>
      </w:tblGrid>
      <w:tr>
        <w:tc>
          <w:tcPr>
            <w:tcW w:type="dxa" w:w="2436"/>
            <w:shd w:val="clear" w:color="auto" w:fill="EFF1F3"/>
            <w:tcBorders>
              <w:top w:val="single" w:sz="18" w:color="1F3A5F"/>
              <w:left w:val="nil"/>
              <w:bottom w:val="nil"/>
              <w:right w:val="nil"/>
            </w:tcBorders>
          </w:tcPr>
          <w:p>
            <w:pPr>
              <w:spacing w:after="0"/>
            </w:pPr>
            <w:r>
              <w:rPr>
                <w:b/>
                <w:color w:val="1F3A5F"/>
                <w:sz w:val="36"/>
              </w:rPr>
              <w:t>KES 12.4M</w:t>
            </w:r>
          </w:p>
          <w:p>
            <w:r>
              <w:rPr>
                <w:b/>
                <w:sz w:val="19"/>
              </w:rPr>
              <w:t>Total Funding Ask</w:t>
            </w:r>
          </w:p>
          <w:p>
            <w:r>
              <w:rPr>
                <w:color w:val="6B7280"/>
                <w:sz w:val="17"/>
              </w:rPr>
              <w:t>Blended grant and concessional debt</w:t>
            </w:r>
          </w:p>
        </w:tc>
        <w:tc>
          <w:tcPr>
            <w:tcW w:type="dxa" w:w="2436"/>
            <w:shd w:val="clear" w:color="auto" w:fill="EFF1F3"/>
            <w:tcBorders>
              <w:top w:val="single" w:sz="18" w:color="1F3A5F"/>
              <w:left w:val="nil"/>
              <w:bottom w:val="nil"/>
              <w:right w:val="nil"/>
            </w:tcBorders>
          </w:tcPr>
          <w:p>
            <w:pPr>
              <w:spacing w:after="0"/>
            </w:pPr>
            <w:r>
              <w:rPr>
                <w:b/>
                <w:color w:val="1F3A5F"/>
                <w:sz w:val="36"/>
              </w:rPr>
              <w:t>KES 7.4M</w:t>
            </w:r>
          </w:p>
          <w:p>
            <w:r>
              <w:rPr>
                <w:b/>
                <w:sz w:val="19"/>
              </w:rPr>
              <w:t>Grant Component</w:t>
            </w:r>
          </w:p>
          <w:p>
            <w:r>
              <w:rPr>
                <w:color w:val="6B7280"/>
                <w:sz w:val="17"/>
              </w:rPr>
              <w:t>Capital equipment and site setup</w:t>
            </w:r>
          </w:p>
        </w:tc>
        <w:tc>
          <w:tcPr>
            <w:tcW w:type="dxa" w:w="2436"/>
            <w:shd w:val="clear" w:color="auto" w:fill="EFF1F3"/>
            <w:tcBorders>
              <w:top w:val="single" w:sz="18" w:color="1F3A5F"/>
              <w:left w:val="nil"/>
              <w:bottom w:val="nil"/>
              <w:right w:val="nil"/>
            </w:tcBorders>
          </w:tcPr>
          <w:p>
            <w:pPr>
              <w:spacing w:after="0"/>
            </w:pPr>
            <w:r>
              <w:rPr>
                <w:b/>
                <w:color w:val="1F3A5F"/>
                <w:sz w:val="36"/>
              </w:rPr>
              <w:t>KES 5.0M</w:t>
            </w:r>
          </w:p>
          <w:p>
            <w:r>
              <w:rPr>
                <w:b/>
                <w:sz w:val="19"/>
              </w:rPr>
              <w:t>Concessional Loan</w:t>
            </w:r>
          </w:p>
          <w:p>
            <w:r>
              <w:rPr>
                <w:color w:val="6B7280"/>
                <w:sz w:val="17"/>
              </w:rPr>
              <w:t>Working capital and contingency</w:t>
            </w:r>
          </w:p>
        </w:tc>
        <w:tc>
          <w:tcPr>
            <w:tcW w:type="dxa" w:w="2436"/>
            <w:shd w:val="clear" w:color="auto" w:fill="EFF1F3"/>
            <w:tcBorders>
              <w:top w:val="single" w:sz="18" w:color="1F3A5F"/>
              <w:left w:val="nil"/>
              <w:bottom w:val="nil"/>
              <w:right w:val="nil"/>
            </w:tcBorders>
          </w:tcPr>
          <w:p>
            <w:pPr>
              <w:spacing w:after="0"/>
            </w:pPr>
            <w:r>
              <w:rPr>
                <w:b/>
                <w:color w:val="1F3A5F"/>
                <w:sz w:val="36"/>
              </w:rPr>
              <w:t>36 months</w:t>
            </w:r>
          </w:p>
          <w:p>
            <w:r>
              <w:rPr>
                <w:b/>
                <w:sz w:val="19"/>
              </w:rPr>
              <w:t>Estimated Payback Period</w:t>
            </w:r>
          </w:p>
          <w:p>
            <w:r>
              <w:rPr>
                <w:color w:val="6B7280"/>
                <w:sz w:val="17"/>
              </w:rPr>
              <w:t>Based on projected revenue ramp-up</w:t>
            </w:r>
          </w:p>
        </w:tc>
      </w:tr>
    </w:tbl>
    <w:p>
      <w:pPr>
        <w:spacing w:after="4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Requested Instrument.</w:t>
            </w:r>
            <w:r>
              <w:t xml:space="preserve"> </w:t>
            </w:r>
            <w:r>
              <w:t>Baridi Fresh requests a blended structure: a KES 7.4 million grant for capital expenditure and a KES 5.0 million concessional loan at below-market interest for working capital. The loan is repayable over 36 months with a 6-month grace period. Confirm current interest rates and grant eligibility criteria with the funder before submission.</w:t>
            </w:r>
          </w:p>
        </w:tc>
      </w:tr>
    </w:tbl>
    <w:p>
      <w:pPr>
        <w:spacing w:after="40"/>
      </w:pP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3407"/>
        <w:gridCol w:w="3732"/>
        <w:gridCol w:w="1136"/>
        <w:gridCol w:w="1136"/>
      </w:tblGrid>
      <w:tr>
        <w:trPr>
          <w:tblHeader w:val="true"/>
          <w:cantSplit/>
        </w:trPr>
        <w:tc>
          <w:tcPr>
            <w:tcW w:type="dxa" w:w="3407"/>
            <w:shd w:val="clear" w:color="auto" w:fill="DFE3E8"/>
          </w:tcPr>
          <w:p>
            <w:pPr>
              <w:spacing w:after="0" w:line="276" w:lineRule="auto"/>
            </w:pPr>
            <w:r>
              <w:rPr>
                <w:b/>
              </w:rPr>
              <w:t>Milestone</w:t>
            </w:r>
          </w:p>
        </w:tc>
        <w:tc>
          <w:tcPr>
            <w:tcW w:type="dxa" w:w="3732"/>
            <w:shd w:val="clear" w:color="auto" w:fill="DFE3E8"/>
          </w:tcPr>
          <w:p>
            <w:pPr>
              <w:spacing w:after="0" w:line="276" w:lineRule="auto"/>
            </w:pPr>
            <w:r>
              <w:rPr>
                <w:b/>
              </w:rPr>
              <w:t>Trigger</w:t>
            </w:r>
          </w:p>
        </w:tc>
        <w:tc>
          <w:tcPr>
            <w:tcW w:type="dxa" w:w="1136"/>
            <w:shd w:val="clear" w:color="auto" w:fill="DFE3E8"/>
          </w:tcPr>
          <w:p>
            <w:pPr>
              <w:spacing w:after="0" w:line="276" w:lineRule="auto"/>
            </w:pPr>
            <w:r>
              <w:rPr>
                <w:b/>
              </w:rPr>
              <w:t>Disbursement (KES)</w:t>
            </w:r>
          </w:p>
        </w:tc>
        <w:tc>
          <w:tcPr>
            <w:tcW w:type="dxa" w:w="1136"/>
            <w:shd w:val="clear" w:color="auto" w:fill="DFE3E8"/>
          </w:tcPr>
          <w:p>
            <w:pPr>
              <w:spacing w:after="0" w:line="276" w:lineRule="auto"/>
            </w:pPr>
            <w:r>
              <w:rPr>
                <w:b/>
              </w:rPr>
              <w:t>Cumulative (KES)</w:t>
            </w:r>
          </w:p>
        </w:tc>
      </w:tr>
      <w:tr>
        <w:tc>
          <w:tcPr>
            <w:tcW w:type="dxa" w:w="3407"/>
          </w:tcPr>
          <w:p>
            <w:pPr>
              <w:spacing w:after="0" w:line="276" w:lineRule="auto"/>
            </w:pPr>
            <w:r>
              <w:t>M1: Legal incorporation and site agreement</w:t>
            </w:r>
          </w:p>
        </w:tc>
        <w:tc>
          <w:tcPr>
            <w:tcW w:type="dxa" w:w="3732"/>
          </w:tcPr>
          <w:p>
            <w:pPr>
              <w:spacing w:after="0" w:line="276" w:lineRule="auto"/>
            </w:pPr>
            <w:r>
              <w:t>Signed lease and registration certificate</w:t>
            </w:r>
          </w:p>
        </w:tc>
        <w:tc>
          <w:tcPr>
            <w:tcW w:type="dxa" w:w="1136"/>
          </w:tcPr>
          <w:p>
            <w:pPr>
              <w:spacing w:after="0" w:line="276" w:lineRule="auto"/>
              <w:jc w:val="right"/>
            </w:pPr>
            <w:r>
              <w:t>1,200,000</w:t>
            </w:r>
          </w:p>
        </w:tc>
        <w:tc>
          <w:tcPr>
            <w:tcW w:type="dxa" w:w="1136"/>
          </w:tcPr>
          <w:p>
            <w:pPr>
              <w:spacing w:after="0" w:line="276" w:lineRule="auto"/>
              <w:jc w:val="right"/>
            </w:pPr>
            <w:r>
              <w:t>1,200,000</w:t>
            </w:r>
          </w:p>
        </w:tc>
      </w:tr>
      <w:tr>
        <w:tc>
          <w:tcPr>
            <w:tcW w:type="dxa" w:w="3407"/>
          </w:tcPr>
          <w:p>
            <w:pPr>
              <w:spacing w:after="0" w:line="276" w:lineRule="auto"/>
            </w:pPr>
            <w:r>
              <w:t>M2: Solar and cold room procurement</w:t>
            </w:r>
          </w:p>
        </w:tc>
        <w:tc>
          <w:tcPr>
            <w:tcW w:type="dxa" w:w="3732"/>
          </w:tcPr>
          <w:p>
            <w:pPr>
              <w:spacing w:after="0" w:line="276" w:lineRule="auto"/>
            </w:pPr>
            <w:r>
              <w:t>Signed supplier contracts and proforma invoices</w:t>
            </w:r>
          </w:p>
        </w:tc>
        <w:tc>
          <w:tcPr>
            <w:tcW w:type="dxa" w:w="1136"/>
          </w:tcPr>
          <w:p>
            <w:pPr>
              <w:spacing w:after="0" w:line="276" w:lineRule="auto"/>
              <w:jc w:val="right"/>
            </w:pPr>
            <w:r>
              <w:t>4,800,000</w:t>
            </w:r>
          </w:p>
        </w:tc>
        <w:tc>
          <w:tcPr>
            <w:tcW w:type="dxa" w:w="1136"/>
          </w:tcPr>
          <w:p>
            <w:pPr>
              <w:spacing w:after="0" w:line="276" w:lineRule="auto"/>
              <w:jc w:val="right"/>
            </w:pPr>
            <w:r>
              <w:t>6,000,000</w:t>
            </w:r>
          </w:p>
        </w:tc>
      </w:tr>
      <w:tr>
        <w:tc>
          <w:tcPr>
            <w:tcW w:type="dxa" w:w="3407"/>
          </w:tcPr>
          <w:p>
            <w:pPr>
              <w:spacing w:after="0" w:line="276" w:lineRule="auto"/>
            </w:pPr>
            <w:r>
              <w:t>M3: Installation and commissioning</w:t>
            </w:r>
          </w:p>
        </w:tc>
        <w:tc>
          <w:tcPr>
            <w:tcW w:type="dxa" w:w="3732"/>
          </w:tcPr>
          <w:p>
            <w:pPr>
              <w:spacing w:after="0" w:line="276" w:lineRule="auto"/>
            </w:pPr>
            <w:r>
              <w:t>Cold room reaches 4°C and solar system passes test</w:t>
            </w:r>
          </w:p>
        </w:tc>
        <w:tc>
          <w:tcPr>
            <w:tcW w:type="dxa" w:w="1136"/>
          </w:tcPr>
          <w:p>
            <w:pPr>
              <w:spacing w:after="0" w:line="276" w:lineRule="auto"/>
              <w:jc w:val="right"/>
            </w:pPr>
            <w:r>
              <w:t>2,400,000</w:t>
            </w:r>
          </w:p>
        </w:tc>
        <w:tc>
          <w:tcPr>
            <w:tcW w:type="dxa" w:w="1136"/>
          </w:tcPr>
          <w:p>
            <w:pPr>
              <w:spacing w:after="0" w:line="276" w:lineRule="auto"/>
              <w:jc w:val="right"/>
            </w:pPr>
            <w:r>
              <w:t>8,400,000</w:t>
            </w:r>
          </w:p>
        </w:tc>
      </w:tr>
      <w:tr>
        <w:tc>
          <w:tcPr>
            <w:tcW w:type="dxa" w:w="3407"/>
          </w:tcPr>
          <w:p>
            <w:pPr>
              <w:spacing w:after="0" w:line="276" w:lineRule="auto"/>
            </w:pPr>
            <w:r>
              <w:t>M4: Operations launch</w:t>
            </w:r>
          </w:p>
        </w:tc>
        <w:tc>
          <w:tcPr>
            <w:tcW w:type="dxa" w:w="3732"/>
          </w:tcPr>
          <w:p>
            <w:pPr>
              <w:spacing w:after="0" w:line="276" w:lineRule="auto"/>
            </w:pPr>
            <w:r>
              <w:t>First 50 traders onboarded and first rental revenue collected</w:t>
            </w:r>
          </w:p>
        </w:tc>
        <w:tc>
          <w:tcPr>
            <w:tcW w:type="dxa" w:w="1136"/>
          </w:tcPr>
          <w:p>
            <w:pPr>
              <w:spacing w:after="0" w:line="276" w:lineRule="auto"/>
              <w:jc w:val="right"/>
            </w:pPr>
            <w:r>
              <w:t>2,000,000</w:t>
            </w:r>
          </w:p>
        </w:tc>
        <w:tc>
          <w:tcPr>
            <w:tcW w:type="dxa" w:w="1136"/>
          </w:tcPr>
          <w:p>
            <w:pPr>
              <w:spacing w:after="0" w:line="276" w:lineRule="auto"/>
              <w:jc w:val="right"/>
            </w:pPr>
            <w:r>
              <w:t>10,400,000</w:t>
            </w:r>
          </w:p>
        </w:tc>
      </w:tr>
      <w:tr>
        <w:tc>
          <w:tcPr>
            <w:tcW w:type="dxa" w:w="3407"/>
          </w:tcPr>
          <w:p>
            <w:pPr>
              <w:spacing w:after="0" w:line="276" w:lineRule="auto"/>
            </w:pPr>
            <w:r>
              <w:t>M5: Six-month performance review</w:t>
            </w:r>
          </w:p>
        </w:tc>
        <w:tc>
          <w:tcPr>
            <w:tcW w:type="dxa" w:w="3732"/>
          </w:tcPr>
          <w:p>
            <w:pPr>
              <w:spacing w:after="0" w:line="276" w:lineRule="auto"/>
            </w:pPr>
            <w:r>
              <w:t>Occupancy above 60% and revenue on plan</w:t>
            </w:r>
          </w:p>
        </w:tc>
        <w:tc>
          <w:tcPr>
            <w:tcW w:type="dxa" w:w="1136"/>
          </w:tcPr>
          <w:p>
            <w:pPr>
              <w:spacing w:after="0" w:line="276" w:lineRule="auto"/>
              <w:jc w:val="right"/>
            </w:pPr>
            <w:r>
              <w:t>2,000,000</w:t>
            </w:r>
          </w:p>
        </w:tc>
        <w:tc>
          <w:tcPr>
            <w:tcW w:type="dxa" w:w="1136"/>
          </w:tcPr>
          <w:p>
            <w:pPr>
              <w:spacing w:after="0" w:line="276" w:lineRule="auto"/>
              <w:jc w:val="right"/>
            </w:pPr>
            <w:r>
              <w:t>12,400,000</w:t>
            </w:r>
          </w:p>
        </w:tc>
      </w:tr>
    </w:tbl>
    <w:p>
      <w:pPr>
        <w:spacing w:after="0"/>
      </w:pPr>
    </w:p>
    <w:p>
      <w:r>
        <w:t>The milestone-linked schedule ensures capital is released only as operational and financial targets are met. Baridi Fresh will provide monthly financial reports and quarterly impact updates to the funder. Confirm all supplier prices, regulatory fees, and interest rates before final submission.</w:t>
      </w: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Baridi Fresh Business Plan: Solar-Powered Cold-Storage Hub for...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