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r>
        <w:rPr>
          <w:b/>
          <w:color w:val="1F3A5F"/>
          <w:sz w:val="20"/>
        </w:rPr>
        <w:t>BUSINESS PLAN</w:t>
      </w:r>
    </w:p>
    <w:p>
      <w:pPr>
        <w:pStyle w:val="Title"/>
      </w:pPr>
      <w:r>
        <w:t>Businessplan Rad &amp; Werk GmbH - Lastenrad-Werkstatt und Verleih Leipzig</w:t>
      </w:r>
    </w:p>
    <w:p>
      <w:pPr>
        <w:ind w:right="6803"/>
        <w:pBdr>
          <w:bottom w:val="single" w:sz="18" w:space="1" w:color="1F3A5F"/>
        </w:pBdr>
      </w:pPr>
    </w:p>
    <w:p>
      <w:r>
        <w:rPr>
          <w:color w:val="6B7280"/>
          <w:sz w:val="22"/>
        </w:rPr>
        <w:t>October 2026</w:t>
      </w:r>
    </w:p>
    <w:p>
      <w:r>
        <w:br w:type="page"/>
      </w:r>
    </w:p>
    <w:p>
      <w:pPr>
        <w:pStyle w:val="Heading1"/>
      </w:pPr>
      <w:r>
        <w:t>Contents</w:t>
      </w:r>
    </w:p>
    <w:p>
      <w:pPr>
        <w:spacing w:after="80"/>
      </w:pPr>
      <w:r>
        <w:rPr>
          <w:b/>
          <w:color w:val="1F3A5F"/>
        </w:rPr>
        <w:t xml:space="preserve"> 1   </w:t>
      </w:r>
      <w:r>
        <w:t>Zusammenfassung: Nachhaltige Mobilitätsinfrastruktur für Leipzig</w:t>
      </w:r>
    </w:p>
    <w:p>
      <w:pPr>
        <w:spacing w:after="80"/>
      </w:pPr>
      <w:r>
        <w:rPr>
          <w:b/>
          <w:color w:val="1F3A5F"/>
        </w:rPr>
        <w:t xml:space="preserve"> 2   </w:t>
      </w:r>
      <w:r>
        <w:t>Gründerteam: Fachkompetenz aus Fahrradtechnik, Logistik und nachhaltiger Mobilität</w:t>
      </w:r>
    </w:p>
    <w:p>
      <w:pPr>
        <w:spacing w:after="80"/>
      </w:pPr>
      <w:r>
        <w:rPr>
          <w:b/>
          <w:color w:val="1F3A5F"/>
        </w:rPr>
        <w:t xml:space="preserve"> 3   </w:t>
      </w:r>
      <w:r>
        <w:t>Angebot und Preise: Modularer Verleih, Reparatur-Flatrate und Lastenrad-Abnahmeberatung</w:t>
      </w:r>
    </w:p>
    <w:p>
      <w:pPr>
        <w:spacing w:after="80"/>
      </w:pPr>
      <w:r>
        <w:rPr>
          <w:b/>
          <w:color w:val="1F3A5F"/>
        </w:rPr>
        <w:t xml:space="preserve"> 4   </w:t>
      </w:r>
      <w:r>
        <w:t>Marktanalyse Leipzig: Nachfrage nach lastenradbasierten Lösungen im städtischen Liefer- und Alltagsverkehr</w:t>
      </w:r>
    </w:p>
    <w:p>
      <w:pPr>
        <w:spacing w:after="80"/>
      </w:pPr>
      <w:r>
        <w:rPr>
          <w:b/>
          <w:color w:val="1F3A5F"/>
        </w:rPr>
        <w:t xml:space="preserve"> 5   </w:t>
      </w:r>
      <w:r>
        <w:t>Wettbewerbslandschaft in Leipzig</w:t>
      </w:r>
    </w:p>
    <w:p>
      <w:pPr>
        <w:spacing w:after="80"/>
      </w:pPr>
      <w:r>
        <w:rPr>
          <w:b/>
          <w:color w:val="1F3A5F"/>
        </w:rPr>
        <w:t xml:space="preserve"> 6   </w:t>
      </w:r>
      <w:r>
        <w:t>Marketingstrategie: Lokale Akquise über Kooperationen mit Quartiersmanagements, Handwerkskammern und Last-Mile-Logistikdienstleistern</w:t>
      </w:r>
    </w:p>
    <w:p>
      <w:pPr>
        <w:spacing w:after="80"/>
      </w:pPr>
      <w:r>
        <w:rPr>
          <w:b/>
          <w:color w:val="1F3A5F"/>
        </w:rPr>
        <w:t xml:space="preserve"> 7   </w:t>
      </w:r>
      <w:r>
        <w:t>Standort Leipzig: Gewerbefläche im ehemaligen Industriegebiet Plagwitz mit Zugang für Lastenräder und Kundenparkplätzen</w:t>
      </w:r>
    </w:p>
    <w:p>
      <w:pPr>
        <w:spacing w:after="80"/>
      </w:pPr>
      <w:r>
        <w:rPr>
          <w:b/>
          <w:color w:val="1F3A5F"/>
        </w:rPr>
        <w:t xml:space="preserve"> 8   </w:t>
      </w:r>
      <w:r>
        <w:t>Interne Struktur und Zuständigkeiten</w:t>
      </w:r>
    </w:p>
    <w:p>
      <w:pPr>
        <w:spacing w:after="80"/>
      </w:pPr>
      <w:r>
        <w:rPr>
          <w:b/>
          <w:color w:val="1F3A5F"/>
        </w:rPr>
        <w:t xml:space="preserve"> 9   </w:t>
      </w:r>
      <w:r>
        <w:t>Investitions- und Finanzierungsplan: Tabelle mit Anschaffungskosten für Werkstattausstattung, Lastenräder und digitale Systeme</w:t>
      </w:r>
    </w:p>
    <w:p>
      <w:pPr>
        <w:spacing w:after="80"/>
      </w:pPr>
      <w:r>
        <w:rPr>
          <w:b/>
          <w:color w:val="1F3A5F"/>
        </w:rPr>
        <w:t xml:space="preserve">10   </w:t>
      </w:r>
      <w:r>
        <w:t>Rentabilitäts- und Liquiditätsplanung: Dreijahres-Prognose mit monatlichem Cashflow für Jahr 1</w:t>
      </w:r>
    </w:p>
    <w:p>
      <w:pPr>
        <w:spacing w:after="80"/>
      </w:pPr>
      <w:r>
        <w:rPr>
          <w:b/>
          <w:color w:val="1F3A5F"/>
        </w:rPr>
        <w:t xml:space="preserve">11   </w:t>
      </w:r>
      <w:r>
        <w:t>Chancen und Risiken: Strategische Hebel durch städtische Förderprogramme und konkrete Risikosteuerungsmaßnahmen</w:t>
      </w:r>
    </w:p>
    <w:p>
      <w:r>
        <w:br w:type="page"/>
      </w:r>
    </w:p>
    <w:p>
      <w:pPr>
        <w:pStyle w:val="Heading2"/>
      </w:pPr>
      <w:r>
        <w:t>Zusammenfassung: Nachhaltige Mobilitätsinfrastruktur für Leipzig</w:t>
      </w:r>
    </w:p>
    <w:p>
      <w:r>
        <w:t>Die Rad &amp; Werk GmbH positioniert sich als erster spezialisierter Dienstleister für Lastenräder in Leipzig. Das Geschäftsmodell verbindet eine hochqualifizierte Meisterwerkstatt mit einem flexiblen Verleihpool für Privatpersonen und gewerbliche Kunden. Angesichts der wachsenden Bedeutung der Last-Mile-Logistik und des städtischen Umweltzonen-Managements besteht ein signifikanter Bedarf an professioneller Wartung und kurzfristigen Mietlösungen.</w:t>
      </w:r>
    </w:p>
    <w:p>
      <w:r>
        <w:t>Leipzig verzeichnet einen stetigen Anstieg im Radverkehr, wobei Lastenräder zunehmend als Alternative zum Lieferwagen genutzt werden. Die Marktanalyse identifiziert ein unterversorgtes Segment im After-Sales-Service für diese komplexen Fahrzeuge. Durch die Kombination aus Reparaturdienstleistung und Vermietung generiert das Unternehmen zwei stabile Umsatzsäulen, die saisonale Schwankungen abfedern.</w:t>
      </w:r>
    </w:p>
    <w:tbl>
      <w:tblPr>
        <w:tblW w:type="auto" w:w="0"/>
        <w:tblLook w:firstColumn="1" w:firstRow="1" w:lastColumn="0" w:lastRow="0" w:noHBand="0" w:noVBand="1" w:val="04A0"/>
      </w:tblPr>
      <w:tblGrid>
        <w:gridCol w:w="3249"/>
        <w:gridCol w:w="3249"/>
        <w:gridCol w:w="3249"/>
      </w:tblGrid>
      <w:tr>
        <w:tc>
          <w:tcPr>
            <w:tcW w:type="dxa" w:w="3249"/>
            <w:shd w:val="clear" w:color="auto" w:fill="EFF1F3"/>
            <w:tcBorders>
              <w:top w:val="single" w:sz="18" w:color="1F3A5F"/>
              <w:left w:val="nil"/>
              <w:bottom w:val="nil"/>
              <w:right w:val="nil"/>
            </w:tcBorders>
          </w:tcPr>
          <w:p>
            <w:pPr>
              <w:spacing w:after="0"/>
            </w:pPr>
            <w:r>
              <w:rPr>
                <w:b/>
                <w:color w:val="1F3A5F"/>
                <w:sz w:val="36"/>
              </w:rPr>
              <w:t>150.000 €</w:t>
            </w:r>
          </w:p>
          <w:p>
            <w:r>
              <w:rPr>
                <w:b/>
                <w:sz w:val="19"/>
              </w:rPr>
              <w:t>Finanzierungsbedarf</w:t>
            </w:r>
          </w:p>
          <w:p>
            <w:r>
              <w:rPr>
                <w:color w:val="6B7280"/>
                <w:sz w:val="17"/>
              </w:rPr>
              <w:t>Indikative Schätzung für Startinvestition</w:t>
            </w:r>
          </w:p>
        </w:tc>
        <w:tc>
          <w:tcPr>
            <w:tcW w:type="dxa" w:w="3249"/>
            <w:shd w:val="clear" w:color="auto" w:fill="EFF1F3"/>
            <w:tcBorders>
              <w:top w:val="single" w:sz="18" w:color="1F3A5F"/>
              <w:left w:val="nil"/>
              <w:bottom w:val="nil"/>
              <w:right w:val="nil"/>
            </w:tcBorders>
          </w:tcPr>
          <w:p>
            <w:pPr>
              <w:spacing w:after="0"/>
            </w:pPr>
            <w:r>
              <w:rPr>
                <w:b/>
                <w:color w:val="1F3A5F"/>
                <w:sz w:val="36"/>
              </w:rPr>
              <w:t>Monat 18</w:t>
            </w:r>
          </w:p>
          <w:p>
            <w:r>
              <w:rPr>
                <w:b/>
                <w:sz w:val="19"/>
              </w:rPr>
              <w:t>Break-Even</w:t>
            </w:r>
          </w:p>
          <w:p>
            <w:r>
              <w:rPr>
                <w:color w:val="6B7280"/>
                <w:sz w:val="17"/>
              </w:rPr>
              <w:t>Prognose bei konservativer Auslastung</w:t>
            </w:r>
          </w:p>
        </w:tc>
        <w:tc>
          <w:tcPr>
            <w:tcW w:type="dxa" w:w="3249"/>
            <w:shd w:val="clear" w:color="auto" w:fill="EFF1F3"/>
            <w:tcBorders>
              <w:top w:val="single" w:sz="18" w:color="1F3A5F"/>
              <w:left w:val="nil"/>
              <w:bottom w:val="nil"/>
              <w:right w:val="nil"/>
            </w:tcBorders>
          </w:tcPr>
          <w:p>
            <w:pPr>
              <w:spacing w:after="0"/>
            </w:pPr>
            <w:r>
              <w:rPr>
                <w:b/>
                <w:color w:val="1F3A5F"/>
                <w:sz w:val="36"/>
              </w:rPr>
              <w:t>20 Räder</w:t>
            </w:r>
          </w:p>
          <w:p>
            <w:r>
              <w:rPr>
                <w:b/>
                <w:sz w:val="19"/>
              </w:rPr>
              <w:t>Mietflotte Start</w:t>
            </w:r>
          </w:p>
          <w:p>
            <w:r>
              <w:rPr>
                <w:color w:val="6B7280"/>
                <w:sz w:val="17"/>
              </w:rPr>
              <w:t>Mix aus Cargo-Bikes und E-Lastenrädern</w:t>
            </w:r>
          </w:p>
        </w:tc>
      </w:tr>
    </w:tbl>
    <w:p>
      <w:pPr>
        <w:spacing w:after="4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Hinweis zu Finanzkennzahlen.</w:t>
            </w:r>
            <w:r>
              <w:t xml:space="preserve"> </w:t>
            </w:r>
            <w:r>
              <w:t>Die genannten finanziellen Kennzahlen sind realistische Indikativwerte für den Leipziger Markt. Bitte bestätigen Sie aktuelle Lieferantenpreise für Lastenräder und Werkzeug vor der finalen Einreichung bei der KfW.</w:t>
            </w:r>
          </w:p>
        </w:tc>
      </w:tr>
    </w:tbl>
    <w:p>
      <w:pPr>
        <w:spacing w:after="40"/>
      </w:pPr>
    </w:p>
    <w:p>
      <w:r>
        <w:t>Zur Realisierung wird ein KfW-ERP-Gründerkredit beantragt. Die Eigenkapitalquote wird durch Einlagen der Gründer gesichert. Die detaillierte Liquiditätsplanung zeigt eine positive Entwicklung ab dem zweiten Geschäftsjahr, gestützt durch wiederkehrende Wartungsverträge mit lokalen Logistikdienstleistern und eine hohe Auslastung der Verleihflotte in den Sommermonaten.</w:t>
      </w:r>
    </w:p>
    <w:p>
      <w:pPr>
        <w:pStyle w:val="Heading2"/>
      </w:pPr>
      <w:r>
        <w:t>Gründerteam: Fachkompetenz aus Fahrradtechnik, Logistik und nachhaltiger Mobilität</w:t>
      </w:r>
    </w:p>
    <w:p>
      <w:r>
        <w:t>Das Gründungsteam der Rad &amp; Werk GmbH vereint langjährige Erfahrung in der Fahrradtechnik mit fundiertem Wissen in urbaner Logistik. Der geschäftsführende Gesellschafter bringt über zehn Jahre Praxis in der Wartung und Reparatur von Spezialfahrrädern mit, einschließlich zertifizierter Schulungen für E-Bike-Systeme und Lastenrad-Sicherheit. Ergänzt wird diese technische Expertise durch einen Co-Gesellschafter mit Hintergrund in Supply-Chain-Management und nachhaltiger Stadtplanung, der die strategische Ausrichtung des Verleihgeschäfts und B2B-Kooperationen steuert.</w:t>
      </w:r>
    </w:p>
    <w:p>
      <w:r>
        <w:t>Diese Kombination gewährleistet sowohl hohe Servicequalität in der Werkstatt als auch effiziente Prozesse im Flottenmanagement. Das Team verfügt über nachweisbare Kompetenzen in Kundenberatung und technischer Schulung, was für die Akquise gewerblicher Kunden im Leipziger Raum entscheidend ist. Weitere Personalbedarfe werden bedarfsgerecht gedeckt.</w:t>
      </w:r>
    </w:p>
    <w:p>
      <w:pPr>
        <w:pStyle w:val="Heading2"/>
      </w:pPr>
      <w:r>
        <w:t>Angebot und Preise: Modularer Verleih, Reparatur-Flatrate und Lastenrad-Abnahmeberatung</w:t>
      </w:r>
    </w:p>
    <w:p>
      <w:r>
        <w:t>Das Kernangebot der Rad &amp; Werk GmbH gliedert sich in drei Säulen: den flexiblen Lastenrad-Verleih für Privat- und Geschäftskunden, eine spezialisierte Werkstatt für Reparaturen und Wartung sowie eine beratungsintensive Abnahmehilfe für Neukäufe. Diese Diversifizierung stabilisiert die Cashflows durch wiederkehrende Serviceeinnahmen und hohe Auslastung im Verleihgeschäft.</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2972"/>
        <w:gridCol w:w="4557"/>
        <w:gridCol w:w="1882"/>
      </w:tblGrid>
      <w:tr>
        <w:trPr>
          <w:tblHeader w:val="true"/>
          <w:cantSplit/>
        </w:trPr>
        <w:tc>
          <w:tcPr>
            <w:tcW w:type="dxa" w:w="2972"/>
            <w:shd w:val="clear" w:color="auto" w:fill="DFE3E8"/>
          </w:tcPr>
          <w:p>
            <w:pPr>
              <w:spacing w:after="0" w:line="276" w:lineRule="auto"/>
            </w:pPr>
            <w:r>
              <w:rPr>
                <w:b/>
              </w:rPr>
              <w:t>Leistung</w:t>
            </w:r>
          </w:p>
        </w:tc>
        <w:tc>
          <w:tcPr>
            <w:tcW w:type="dxa" w:w="4557"/>
            <w:shd w:val="clear" w:color="auto" w:fill="DFE3E8"/>
          </w:tcPr>
          <w:p>
            <w:pPr>
              <w:spacing w:after="0" w:line="276" w:lineRule="auto"/>
            </w:pPr>
            <w:r>
              <w:rPr>
                <w:b/>
              </w:rPr>
              <w:t>Beschreibung</w:t>
            </w:r>
          </w:p>
        </w:tc>
        <w:tc>
          <w:tcPr>
            <w:tcW w:type="dxa" w:w="1882"/>
            <w:shd w:val="clear" w:color="auto" w:fill="DFE3E8"/>
          </w:tcPr>
          <w:p>
            <w:pPr>
              <w:spacing w:after="0" w:line="276" w:lineRule="auto"/>
            </w:pPr>
            <w:r>
              <w:rPr>
                <w:b/>
              </w:rPr>
              <w:t>Preis (inkl. MwSt.)</w:t>
            </w:r>
          </w:p>
        </w:tc>
      </w:tr>
      <w:tr>
        <w:tc>
          <w:tcPr>
            <w:tcW w:type="dxa" w:w="2972"/>
          </w:tcPr>
          <w:p>
            <w:pPr>
              <w:spacing w:after="0" w:line="276" w:lineRule="auto"/>
            </w:pPr>
            <w:r>
              <w:t>Lastenrad-Verleih (Tagesmiete)</w:t>
            </w:r>
          </w:p>
        </w:tc>
        <w:tc>
          <w:tcPr>
            <w:tcW w:type="dxa" w:w="4557"/>
          </w:tcPr>
          <w:p>
            <w:pPr>
              <w:spacing w:after="0" w:line="276" w:lineRule="auto"/>
            </w:pPr>
            <w:r>
              <w:t>Nutzung bis 24 Stunden, inkl. Versicherung und Schloss</w:t>
            </w:r>
          </w:p>
        </w:tc>
        <w:tc>
          <w:tcPr>
            <w:tcW w:type="dxa" w:w="1882"/>
          </w:tcPr>
          <w:p>
            <w:pPr>
              <w:spacing w:after="0" w:line="276" w:lineRule="auto"/>
            </w:pPr>
            <w:r>
              <w:t>35,00 EUR</w:t>
            </w:r>
          </w:p>
        </w:tc>
      </w:tr>
      <w:tr>
        <w:tc>
          <w:tcPr>
            <w:tcW w:type="dxa" w:w="2972"/>
          </w:tcPr>
          <w:p>
            <w:pPr>
              <w:spacing w:after="0" w:line="276" w:lineRule="auto"/>
            </w:pPr>
            <w:r>
              <w:t>Lastenrad-Verleih (Wochenende)</w:t>
            </w:r>
          </w:p>
        </w:tc>
        <w:tc>
          <w:tcPr>
            <w:tcW w:type="dxa" w:w="4557"/>
          </w:tcPr>
          <w:p>
            <w:pPr>
              <w:spacing w:after="0" w:line="276" w:lineRule="auto"/>
            </w:pPr>
            <w:r>
              <w:t>Freitag 14:00 bis Montag 10:00 Uhr</w:t>
            </w:r>
          </w:p>
        </w:tc>
        <w:tc>
          <w:tcPr>
            <w:tcW w:type="dxa" w:w="1882"/>
          </w:tcPr>
          <w:p>
            <w:pPr>
              <w:spacing w:after="0" w:line="276" w:lineRule="auto"/>
            </w:pPr>
            <w:r>
              <w:t>85,00 EUR</w:t>
            </w:r>
          </w:p>
        </w:tc>
      </w:tr>
      <w:tr>
        <w:tc>
          <w:tcPr>
            <w:tcW w:type="dxa" w:w="2972"/>
          </w:tcPr>
          <w:p>
            <w:pPr>
              <w:spacing w:after="0" w:line="276" w:lineRule="auto"/>
            </w:pPr>
            <w:r>
              <w:t>Inspektion Basis</w:t>
            </w:r>
          </w:p>
        </w:tc>
        <w:tc>
          <w:tcPr>
            <w:tcW w:type="dxa" w:w="4557"/>
          </w:tcPr>
          <w:p>
            <w:pPr>
              <w:spacing w:after="0" w:line="276" w:lineRule="auto"/>
            </w:pPr>
            <w:r>
              <w:t>Sicherheitscheck, Bremsenjustage, Schaltung</w:t>
            </w:r>
          </w:p>
        </w:tc>
        <w:tc>
          <w:tcPr>
            <w:tcW w:type="dxa" w:w="1882"/>
          </w:tcPr>
          <w:p>
            <w:pPr>
              <w:spacing w:after="0" w:line="276" w:lineRule="auto"/>
            </w:pPr>
            <w:r>
              <w:t>49,00 EUR</w:t>
            </w:r>
          </w:p>
        </w:tc>
      </w:tr>
      <w:tr>
        <w:tc>
          <w:tcPr>
            <w:tcW w:type="dxa" w:w="2972"/>
          </w:tcPr>
          <w:p>
            <w:pPr>
              <w:spacing w:after="0" w:line="276" w:lineRule="auto"/>
            </w:pPr>
            <w:r>
              <w:t>Große Inspektion</w:t>
            </w:r>
          </w:p>
        </w:tc>
        <w:tc>
          <w:tcPr>
            <w:tcW w:type="dxa" w:w="4557"/>
          </w:tcPr>
          <w:p>
            <w:pPr>
              <w:spacing w:after="0" w:line="276" w:lineRule="auto"/>
            </w:pPr>
            <w:r>
              <w:t>Komplett-Check inkl. Lagerwartung und Nabenfett</w:t>
            </w:r>
          </w:p>
        </w:tc>
        <w:tc>
          <w:tcPr>
            <w:tcW w:type="dxa" w:w="1882"/>
          </w:tcPr>
          <w:p>
            <w:pPr>
              <w:spacing w:after="0" w:line="276" w:lineRule="auto"/>
            </w:pPr>
            <w:r>
              <w:t>129,00 EUR</w:t>
            </w:r>
          </w:p>
        </w:tc>
      </w:tr>
      <w:tr>
        <w:tc>
          <w:tcPr>
            <w:tcW w:type="dxa" w:w="2972"/>
          </w:tcPr>
          <w:p>
            <w:pPr>
              <w:spacing w:after="0" w:line="276" w:lineRule="auto"/>
            </w:pPr>
            <w:r>
              <w:t>Reparaturstunde</w:t>
            </w:r>
          </w:p>
        </w:tc>
        <w:tc>
          <w:tcPr>
            <w:tcW w:type="dxa" w:w="4557"/>
          </w:tcPr>
          <w:p>
            <w:pPr>
              <w:spacing w:after="0" w:line="276" w:lineRule="auto"/>
            </w:pPr>
            <w:r>
              <w:t>Arbeitslohn für mechanische Tätigkeiten</w:t>
            </w:r>
          </w:p>
        </w:tc>
        <w:tc>
          <w:tcPr>
            <w:tcW w:type="dxa" w:w="1882"/>
          </w:tcPr>
          <w:p>
            <w:pPr>
              <w:spacing w:after="0" w:line="276" w:lineRule="auto"/>
            </w:pPr>
            <w:r>
              <w:t>65,00 EUR</w:t>
            </w:r>
          </w:p>
        </w:tc>
      </w:tr>
    </w:tbl>
    <w:p>
      <w:pPr>
        <w:spacing w:after="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Hinweis zur Preisgestaltung.</w:t>
            </w:r>
            <w:r>
              <w:t xml:space="preserve"> </w:t>
            </w:r>
            <w:r>
              <w:t>Die genannten Preise sind indicative Schätzwerte für den Leipziger Markt. Bestätigen Sie die aktuellen Materialkosten und Wettbewerberpreise vor finaler Kalkulation.</w:t>
            </w:r>
          </w:p>
        </w:tc>
      </w:tr>
    </w:tbl>
    <w:p>
      <w:pPr>
        <w:spacing w:after="40"/>
      </w:pPr>
    </w:p>
    <w:p>
      <w:r>
        <w:t>Für gewerbliche Kunden, insbesondere im Bereich der Last-Mile-Logistik und des Handwerks, bietet Rad &amp; Werk GmbH monatliche Flatrate-Pakete an. Diese beinhalten eine festgelegte Anzahl an Leihfahrzeugen sowie priorisierte Wartungsslots. Der Preis für ein Basis-Paket mit zwei Fahrzeugen und vier Wartungseinheiten liegt bei 450,00 EUR pro Monat. Dieses Modell gewährleistet planbare Einnahmen und stärkt die Kundenbindung im B2B-Sektor.</w:t>
      </w:r>
    </w:p>
    <w:p>
      <w:pPr>
        <w:pStyle w:val="Heading2"/>
      </w:pPr>
      <w:r>
        <w:t>Marktanalyse Leipzig: Nachfrage nach lastenradbasierten Lösungen im städtischen Liefer- und Alltagsverkehr</w:t>
      </w:r>
    </w:p>
    <w:p>
      <w:r>
        <w:t>Leipzig entwickelt sich dynamisch zu einer Vorreiterstadt für nachhaltige urbane Mobilität. Der zunehmende Druck zur Reduktion des motorisierten Individualverkehrs und des Lieferverkehrs in der Innenstadt schafft ein signifikantes Wachstumspotenzial für lastenradbasierte Lösungen. Dieser Abschnitt quantifiziert das adressierbare Marktvolumen unter Berücksichtigung lokaler demografischer Daten, bestehender Infrastrukturprojekte und der aktuellen Mobilitätskultur in der Region.</w:t>
      </w:r>
    </w:p>
    <w:p>
      <w:r>
        <w:t>Die Analyse basiert auf offiziellen Datenquellen, darunter dem Statistischen Amt Leipzig und dem Stadtentwicklungsplan Mobilität. Diese Dokumente liefern fundierte Erkenntnisse über Verkehrsströme, Bevölkerungsdichte in relevanten Quartieren sowie geplante Ausbauziele für Radinfrastruktur. Ergänzend fließen Ergebnisse aktueller Mobilitätserhebungen ein, die das Nutzungsverhalten von Cargo-Bikes im B2B- und B2C-Segment abbilden. Da spezifische aktuelle Marktzahlen für Nischenanbieter oft nicht öffentlich detailliert vorliegen, werden hier konservative Schätzungen auf Basis der allgemeinen Fahrradnutzungsquote in Leipzig abgeleitet.</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Hinweis zur Datenbasis.</w:t>
            </w:r>
            <w:r>
              <w:t xml:space="preserve"> </w:t>
            </w:r>
            <w:r>
              <w:t>Die hier genannten Marktgrößen sind indicative Schätzungen basierend auf verfügbaren öffentlichen Strukturdaten. Für die finale Kreditprüfung sollten aktuelle, branchenspezifische Studien oder eigene Primärerhebungen zur Validierung der lokalen Nachfrage herangezogen werden. Bestätigen Sie die aktuellen Förderkulissen der Stadt Leipzig für Lastenrad-Anschaffungen vor Einreichung.</w:t>
            </w:r>
          </w:p>
        </w:tc>
      </w:tr>
    </w:tbl>
    <w:p>
      <w:pPr>
        <w:spacing w:after="40"/>
      </w:pPr>
    </w:p>
    <w:p>
      <w:r>
        <w:t>Das primäre Zielgruppenpotenzial setzt sich aus zwei Säulen zusammen: Dem gewerblichen Sektor, insbesondere Kurierdienste, Handwerksbetriebe und lokale Einzelhändler, die ihre 'Last Mile' effizienter gestalten müssen, sowie privaten Haushalten in dicht besiedelten Stadtteilen wie Plagwitz, Connewitz und der Südvorstadt. Die hohe Studentendichte und das umweltbewusste Profil der Leipziger Bevölkerung begünstigen die Akzeptanz von Leihmodellen und Reparaturdienstleistungen für hochwertige Lastenräder.</w:t>
      </w:r>
    </w:p>
    <w:tbl>
      <w:tblPr>
        <w:tblW w:type="auto" w:w="0"/>
        <w:tblLook w:firstColumn="1" w:firstRow="1" w:lastColumn="0" w:lastRow="0" w:noHBand="0" w:noVBand="1" w:val="04A0"/>
      </w:tblPr>
      <w:tblGrid>
        <w:gridCol w:w="3249"/>
        <w:gridCol w:w="3249"/>
        <w:gridCol w:w="3249"/>
      </w:tblGrid>
      <w:tr>
        <w:tc>
          <w:tcPr>
            <w:tcW w:type="dxa" w:w="3249"/>
            <w:shd w:val="clear" w:color="auto" w:fill="EFF1F3"/>
            <w:tcBorders>
              <w:top w:val="single" w:sz="18" w:color="1F3A5F"/>
              <w:left w:val="nil"/>
              <w:bottom w:val="nil"/>
              <w:right w:val="nil"/>
            </w:tcBorders>
          </w:tcPr>
          <w:p>
            <w:pPr>
              <w:spacing w:after="0"/>
            </w:pPr>
            <w:r>
              <w:rPr>
                <w:b/>
                <w:color w:val="1F3A5F"/>
                <w:sz w:val="36"/>
              </w:rPr>
              <w:t>~628.000</w:t>
            </w:r>
          </w:p>
          <w:p>
            <w:r>
              <w:rPr>
                <w:b/>
                <w:sz w:val="19"/>
              </w:rPr>
              <w:t>Einwohner Leipzig</w:t>
            </w:r>
          </w:p>
          <w:p>
            <w:r>
              <w:rPr>
                <w:color w:val="6B7280"/>
                <w:sz w:val="17"/>
              </w:rPr>
              <w:t>Wachsende Bevölkerungszahl erhöht Mobilitätsbedarf</w:t>
            </w:r>
          </w:p>
        </w:tc>
        <w:tc>
          <w:tcPr>
            <w:tcW w:type="dxa" w:w="3249"/>
            <w:shd w:val="clear" w:color="auto" w:fill="EFF1F3"/>
            <w:tcBorders>
              <w:top w:val="single" w:sz="18" w:color="1F3A5F"/>
              <w:left w:val="nil"/>
              <w:bottom w:val="nil"/>
              <w:right w:val="nil"/>
            </w:tcBorders>
          </w:tcPr>
          <w:p>
            <w:pPr>
              <w:spacing w:after="0"/>
            </w:pPr>
            <w:r>
              <w:rPr>
                <w:b/>
                <w:color w:val="1F3A5F"/>
                <w:sz w:val="36"/>
              </w:rPr>
              <w:t>~25%</w:t>
            </w:r>
          </w:p>
          <w:p>
            <w:r>
              <w:rPr>
                <w:b/>
                <w:sz w:val="19"/>
              </w:rPr>
              <w:t>Radverkehrsanteil</w:t>
            </w:r>
          </w:p>
          <w:p>
            <w:r>
              <w:rPr>
                <w:color w:val="6B7280"/>
                <w:sz w:val="17"/>
              </w:rPr>
              <w:t>Überdurchschnittlich hoher Anteil im Bundesvergleich</w:t>
            </w:r>
          </w:p>
        </w:tc>
        <w:tc>
          <w:tcPr>
            <w:tcW w:type="dxa" w:w="3249"/>
            <w:shd w:val="clear" w:color="auto" w:fill="EFF1F3"/>
            <w:tcBorders>
              <w:top w:val="single" w:sz="18" w:color="1F3A5F"/>
              <w:left w:val="nil"/>
              <w:bottom w:val="nil"/>
              <w:right w:val="nil"/>
            </w:tcBorders>
          </w:tcPr>
          <w:p>
            <w:pPr>
              <w:spacing w:after="0"/>
            </w:pPr>
            <w:r>
              <w:rPr>
                <w:b/>
                <w:color w:val="1F3A5F"/>
                <w:sz w:val="36"/>
              </w:rPr>
              <w:t>Est. 5.000+</w:t>
            </w:r>
          </w:p>
          <w:p>
            <w:r>
              <w:rPr>
                <w:b/>
                <w:sz w:val="19"/>
              </w:rPr>
              <w:t>Gewerbebetriebe Innenstadt</w:t>
            </w:r>
          </w:p>
          <w:p>
            <w:r>
              <w:rPr>
                <w:color w:val="6B7280"/>
                <w:sz w:val="17"/>
              </w:rPr>
              <w:t>Potenzielle B2B-Kunden für Logistiklösungen</w:t>
            </w:r>
          </w:p>
        </w:tc>
      </w:tr>
    </w:tbl>
    <w:p>
      <w:pPr>
        <w:spacing w:after="40"/>
      </w:pPr>
    </w:p>
    <w:p>
      <w:r>
        <w:t>Ein entscheidender Treiber ist die kommunale Politik: Leipzig forciert den Ausbau von Fahrradstraßen und Pop-up-Radwegen, was die Sicherheit und Attraktivität des Lastenradverkehrs erhöht. Gleichzeitig steigen die Kosten für konventionelle Lieferfahrzeuge durch Parkraumbewirtschaftung und mögliche Fahrverbote. Dies verschiebt die Wirtschaftlichkeitsrechnung zugunsten elektrischer Lastenräder. Die Rad &amp; Werk GmbH positioniert sich genau an dieser Schnittstelle zwischen infrastrukturellem Wandel und betrieblicher Notwendigkeit.</w:t>
      </w:r>
    </w:p>
    <w:p>
      <w:pPr>
        <w:pStyle w:val="Heading2"/>
      </w:pPr>
      <w:r>
        <w:t>Wettbewerbslandschaft in Leipzig</w:t>
      </w:r>
    </w:p>
    <w:p>
      <w:r>
        <w:t>Der Leipziger Markt für Fahrradmobilität ist durch eine heterogene Struktur geprägt. Stationäre Fahrradfachhändler dominieren den Verkauf neuer Räder, bieten jedoch oft nur begrenzte Spezialisierung auf Lastenräder an. Reine Verleihanbieter konzentrieren sich häufig auf touristische Kurzzeitmieten oder E-Scooter, während spezialisierte Lastenrad-Verleihe noch Nischen besetzen. Kommunale Modellprojekte fördern zwar die Akzeptanz, stellen aber aufgrund ihrer zeitlichen Begrenzung und fehlenden kommerziellen Service-Tiefe keine direkten Konkurrenten für einen dauerhaften Werkstatt- und Verleihbetrieb dar.</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1336"/>
        <w:gridCol w:w="2489"/>
        <w:gridCol w:w="2793"/>
        <w:gridCol w:w="2793"/>
      </w:tblGrid>
      <w:tr>
        <w:trPr>
          <w:tblHeader w:val="true"/>
          <w:cantSplit/>
        </w:trPr>
        <w:tc>
          <w:tcPr>
            <w:tcW w:type="dxa" w:w="1336"/>
            <w:shd w:val="clear" w:color="auto" w:fill="DFE3E8"/>
          </w:tcPr>
          <w:p>
            <w:pPr>
              <w:spacing w:after="0" w:line="276" w:lineRule="auto"/>
            </w:pPr>
            <w:r>
              <w:rPr>
                <w:b/>
              </w:rPr>
              <w:t>Wettbewerber-Typ</w:t>
            </w:r>
          </w:p>
        </w:tc>
        <w:tc>
          <w:tcPr>
            <w:tcW w:type="dxa" w:w="2489"/>
            <w:shd w:val="clear" w:color="auto" w:fill="DFE3E8"/>
          </w:tcPr>
          <w:p>
            <w:pPr>
              <w:spacing w:after="0" w:line="276" w:lineRule="auto"/>
            </w:pPr>
            <w:r>
              <w:rPr>
                <w:b/>
              </w:rPr>
              <w:t>Stärken</w:t>
            </w:r>
          </w:p>
        </w:tc>
        <w:tc>
          <w:tcPr>
            <w:tcW w:type="dxa" w:w="2793"/>
            <w:shd w:val="clear" w:color="auto" w:fill="DFE3E8"/>
          </w:tcPr>
          <w:p>
            <w:pPr>
              <w:spacing w:after="0" w:line="276" w:lineRule="auto"/>
            </w:pPr>
            <w:r>
              <w:rPr>
                <w:b/>
              </w:rPr>
              <w:t>Schwächen</w:t>
            </w:r>
          </w:p>
        </w:tc>
        <w:tc>
          <w:tcPr>
            <w:tcW w:type="dxa" w:w="2793"/>
            <w:shd w:val="clear" w:color="auto" w:fill="DFE3E8"/>
          </w:tcPr>
          <w:p>
            <w:pPr>
              <w:spacing w:after="0" w:line="276" w:lineRule="auto"/>
            </w:pPr>
            <w:r>
              <w:rPr>
                <w:b/>
              </w:rPr>
              <w:t>Positionierung Rad &amp; Werk GmbH</w:t>
            </w:r>
          </w:p>
        </w:tc>
      </w:tr>
      <w:tr>
        <w:tc>
          <w:tcPr>
            <w:tcW w:type="dxa" w:w="1336"/>
          </w:tcPr>
          <w:p>
            <w:pPr>
              <w:spacing w:after="0" w:line="276" w:lineRule="auto"/>
            </w:pPr>
            <w:r>
              <w:t>Stationäre Fachhändler</w:t>
            </w:r>
          </w:p>
        </w:tc>
        <w:tc>
          <w:tcPr>
            <w:tcW w:type="dxa" w:w="2489"/>
          </w:tcPr>
          <w:p>
            <w:pPr>
              <w:spacing w:after="0" w:line="276" w:lineRule="auto"/>
            </w:pPr>
            <w:r>
              <w:t>Breites Sortiment, etablierte Kundenbasis</w:t>
            </w:r>
          </w:p>
        </w:tc>
        <w:tc>
          <w:tcPr>
            <w:tcW w:type="dxa" w:w="2793"/>
          </w:tcPr>
          <w:p>
            <w:pPr>
              <w:spacing w:after="0" w:line="276" w:lineRule="auto"/>
            </w:pPr>
            <w:r>
              <w:t>Geringe Lastenrad-Expertise, lange Reparaturzeiten</w:t>
            </w:r>
          </w:p>
        </w:tc>
        <w:tc>
          <w:tcPr>
            <w:tcW w:type="dxa" w:w="2793"/>
          </w:tcPr>
          <w:p>
            <w:pPr>
              <w:spacing w:after="0" w:line="276" w:lineRule="auto"/>
            </w:pPr>
            <w:r>
              <w:t>Spezialisierte Lastenrad-Wartung und schnelle Durchlaufzeiten</w:t>
            </w:r>
          </w:p>
        </w:tc>
      </w:tr>
      <w:tr>
        <w:tc>
          <w:tcPr>
            <w:tcW w:type="dxa" w:w="1336"/>
          </w:tcPr>
          <w:p>
            <w:pPr>
              <w:spacing w:after="0" w:line="276" w:lineRule="auto"/>
            </w:pPr>
            <w:r>
              <w:t>Reine Verleiher</w:t>
            </w:r>
          </w:p>
        </w:tc>
        <w:tc>
          <w:tcPr>
            <w:tcW w:type="dxa" w:w="2489"/>
          </w:tcPr>
          <w:p>
            <w:pPr>
              <w:spacing w:after="0" w:line="276" w:lineRule="auto"/>
            </w:pPr>
            <w:r>
              <w:t>Niedrige Einstiegshürden für Kunden</w:t>
            </w:r>
          </w:p>
        </w:tc>
        <w:tc>
          <w:tcPr>
            <w:tcW w:type="dxa" w:w="2793"/>
          </w:tcPr>
          <w:p>
            <w:pPr>
              <w:spacing w:after="0" w:line="276" w:lineRule="auto"/>
            </w:pPr>
            <w:r>
              <w:t>Kein eigener Service, hohe Flottenabnutzung</w:t>
            </w:r>
          </w:p>
        </w:tc>
        <w:tc>
          <w:tcPr>
            <w:tcW w:type="dxa" w:w="2793"/>
          </w:tcPr>
          <w:p>
            <w:pPr>
              <w:spacing w:after="0" w:line="276" w:lineRule="auto"/>
            </w:pPr>
            <w:r>
              <w:t>Kombination aus hochwertigem Verleih und eigener Meister-Werkstatt</w:t>
            </w:r>
          </w:p>
        </w:tc>
      </w:tr>
      <w:tr>
        <w:tc>
          <w:tcPr>
            <w:tcW w:type="dxa" w:w="1336"/>
          </w:tcPr>
          <w:p>
            <w:pPr>
              <w:spacing w:after="0" w:line="276" w:lineRule="auto"/>
            </w:pPr>
            <w:r>
              <w:t>Kommunale Projekte</w:t>
            </w:r>
          </w:p>
        </w:tc>
        <w:tc>
          <w:tcPr>
            <w:tcW w:type="dxa" w:w="2489"/>
          </w:tcPr>
          <w:p>
            <w:pPr>
              <w:spacing w:after="0" w:line="276" w:lineRule="auto"/>
            </w:pPr>
            <w:r>
              <w:t>Hohe Sichtbarkeit, subventionierte Preise</w:t>
            </w:r>
          </w:p>
        </w:tc>
        <w:tc>
          <w:tcPr>
            <w:tcW w:type="dxa" w:w="2793"/>
          </w:tcPr>
          <w:p>
            <w:pPr>
              <w:spacing w:after="0" w:line="276" w:lineRule="auto"/>
            </w:pPr>
            <w:r>
              <w:t>Zeitlich begrenzt, kein Kauf-Service</w:t>
            </w:r>
          </w:p>
        </w:tc>
        <w:tc>
          <w:tcPr>
            <w:tcW w:type="dxa" w:w="2793"/>
          </w:tcPr>
          <w:p>
            <w:pPr>
              <w:spacing w:after="0" w:line="276" w:lineRule="auto"/>
            </w:pPr>
            <w:r>
              <w:t>Langfristige Partnerschaften und kommerzielle Zuverlässigkeit</w:t>
            </w:r>
          </w:p>
        </w:tc>
      </w:tr>
    </w:tbl>
    <w:p>
      <w:pPr>
        <w:spacing w:after="0"/>
      </w:pPr>
    </w:p>
    <w:p>
      <w:pPr>
        <w:pStyle w:val="Heading3"/>
      </w:pPr>
      <w:r>
        <w:t>Strategisches Differenzierungsprofil</w:t>
      </w:r>
    </w:p>
    <w:p>
      <w:r>
        <w:t>Rad &amp; Werk GmbH differenziert sich durch die einzigartige Kombination aus zertifizierter Fachwerkstatt und flexiblem Verleih. Während Konkurrenten entweder nur verkaufen oder nur vermieten, bietet Rad &amp; Werk einen ganzheitlichen Lebenszyklus-Service. Dies umfasst die Beratung vor dem Kauf, den probeweisen Einsatz via Verleih und die lebenslange Wartung. Diese Synergie schafft hohe Kundenbindung und reduziert die Hemmschwelle für den Umstieg auf Lastenräder erheblich.</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Wettbewerbsvorteil.</w:t>
            </w:r>
            <w:r>
              <w:t xml:space="preserve"> </w:t>
            </w:r>
            <w:r>
              <w:t>Durch die Spezialisierung auf Lastenräder kann Rad &amp; Werk GmbH tiefere technische Expertise vorweisen als allgemeine Fahrradwerkstätten. Dies ermöglicht höhere Stundensätze bei gleichzeitig kürzeren Bearbeitungszeiten, da Ersatzteile und Prozesse optimiert sind.</w:t>
            </w:r>
          </w:p>
        </w:tc>
      </w:tr>
    </w:tbl>
    <w:p>
      <w:pPr>
        <w:spacing w:after="40"/>
      </w:pPr>
    </w:p>
    <w:p>
      <w:pPr>
        <w:pStyle w:val="Heading2"/>
      </w:pPr>
      <w:r>
        <w:t>Marketingstrategie: Lokale Akquise über Kooperationen mit Quartiersmanagements, Handwerkskammern und Last-Mile-Logistikdienstleistern</w:t>
      </w:r>
    </w:p>
    <w:p>
      <w:r>
        <w:t>Die Marketingstrategie der Rad &amp; Werk GmbH fokussiert sich auf direkte, lokale B2B- und B2C-Kanäle in Leipzig, um Streuverluste zu minimieren. Im B2B-Sektor stehen Kooperationen mit lokalen Logistikdienstleistern im Vordergrund, die ihre Last-Mile-Zustellung auf elektrische Lastenräder umstellen wollen. Gezielte Ansprache erfolgt über die Handwerkskammer Leipzig und das Quartiersmanagement in Plagwitz und der Südvorstadt, wo hohe Dichten an umweltbewussten Haushalten und kleinen Gewerbetreibenden vorliegen.</w:t>
      </w:r>
    </w:p>
    <w:p>
      <w:r>
        <w:t>Für Endkunden (B2C) werden Testfahr-Events in Zusammenarbeit mit lokalen Initiativen wie dem ADFC Leipzig durchgeführt, um Hemmschwellen abzubauen. Digitale Präsenz beschränkt sich auf eine SEO-optimierte Website für lokale Suchanfragen („Lastenrad mieten Leipzig“), während auf teure Social-Media-Kampagnen verzichtet wird. Die Messbarkeit erfolgt durch Tracking der Anfragenquellen bei Vertragsabschluss.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Hinweis zur Budgetplanung.</w:t>
            </w:r>
            <w:r>
              <w:t xml:space="preserve"> </w:t>
            </w:r>
            <w:r>
              <w:t>Die genannten Maßnahmen sind als kosteneffiziente Basisstrategie konzipiert. Konkrete Budgets für Printmaterialien oder Eventkosten sind im Finanzplan unter 'Vertriebskosten' ausgewiesen und basieren auf Schätzungen. Bitte prüfen Sie aktuelle Preise für Messebeteiligungen vor Ort.</w:t>
            </w:r>
          </w:p>
        </w:tc>
      </w:tr>
    </w:tbl>
    <w:p>
      <w:pPr>
        <w:spacing w:after="40"/>
      </w:pPr>
    </w:p>
    <w:p>
      <w:pPr>
        <w:pStyle w:val="Heading2"/>
      </w:pPr>
      <w:r>
        <w:t>Standort Leipzig: Gewerbefläche im ehemaligen Industriegebiet Plagwitz mit Zugang für Lastenräder und Kundenparkplätzen</w:t>
      </w:r>
    </w:p>
    <w:p>
      <w:r>
        <w:t>Die Rad &amp; Werk GmbH siedelt sich im Leipziger Stadtteil Plagwitz an, einem zentralen Knotenpunkt für urbane Logistik und kreative Wirtschaft. Die gewählte Gewerbefläche bietet direkte Anbindung an das Radwegenetz und ausreichend Stellfläche für den Fuhrpark sowie Kundenfahrzeuge. Diese Lage gewährleistet hohe Sichtbarkeit für Privatkunden und kurze Wege für B2B-Logistikpartner.</w:t>
      </w:r>
    </w:p>
    <w:p>
      <w:r>
        <w:t>Die Immobilie erfüllt die technischen Voraussetzungen für eine moderne Fahrradwerkstatt, einschließlich hoher Decken für Hebebühnen und em Bodenbelag. Die Mietkonditionen sind marktüblich für das Gebiet; genaue Quadratmeterpreise und Vertragslaufzeiten sind vor Unterzeichnung final zu bestätigen. Die Nähe zu Wohngebieten und Gewerbezentren maximiert das potenzielle Kundenaufkommen für Reparatur und Verleih.</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Hinweis zur Flächenverfügbarkeit.</w:t>
            </w:r>
            <w:r>
              <w:t xml:space="preserve"> </w:t>
            </w:r>
            <w:r>
              <w:t>Konkrete Mietvertragsdetails und exakte Quadratmeterzahlen sind zum aktuellen Zeitpunkt noch verhandelbar. Bitte prüfen Sie die aktuelle Verfügbarkeit vergleichbarer Objekte in Plagwitz vor der finalen Investitionsentscheidung.</w:t>
            </w:r>
          </w:p>
        </w:tc>
      </w:tr>
    </w:tbl>
    <w:p>
      <w:pPr>
        <w:spacing w:after="40"/>
      </w:pPr>
    </w:p>
    <w:p>
      <w:pPr>
        <w:pStyle w:val="Heading2"/>
      </w:pPr>
      <w:r>
        <w:t>Interne Struktur und Zuständigkeiten</w:t>
      </w:r>
    </w:p>
    <w:p>
      <w:r>
        <w:t>Die Rad &amp; Werk GmbH operiert mit einer flachen Hierarchie, die direkte Kommunikation zwischen technischem Service und Vermietungslogistik fördert. Die Werkstattleitung trägt die Verantwortung für die technische Integrität aller Fahrzeuge und die Ausbildung des Fachpersonals. Die Verleihkoordination manages die Verfügbarkeit der Flotte und optimiert die Auslastung durch dynamische Preisgestaltung und Wartungszyklen. Die kaufmännische Führung sichert die Liquidität und steuert das Wachstum durch datenbasierte Entscheidungen.</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Rechtliche und qualitative Standards.</w:t>
            </w:r>
            <w:r>
              <w:t xml:space="preserve"> </w:t>
            </w:r>
            <w:r>
              <w:t>Alle technischen Mitarbeiter verfügen über anerkannte Zertifizierungen im Fahrradhandwerk. Die Einhaltung der Arbeitssicherheitsrichtlinien und gesetzlicher Mindeststandards wird durch regelmäßige interne Audits gewährleistet.</w:t>
            </w:r>
          </w:p>
        </w:tc>
      </w:tr>
    </w:tbl>
    <w:p>
      <w:pPr>
        <w:spacing w:after="40"/>
      </w:pPr>
    </w:p>
    <w:p>
      <w:pPr>
        <w:pStyle w:val="Heading3"/>
      </w:pPr>
      <w:r>
        <w:t>Rollenprofile und Arbeitszeitmodelle</w:t>
      </w:r>
    </w:p>
    <w:p>
      <w:r>
        <w:t>Das Kernteam besteht aus der Geschäftsführung (50% Anteil), einem leitenden Fahrradmechaniker (Vollzeit) und einem Koordinator für Verleih und Kundenservice (Teilzeit, 20 Stunden/Woche). Externe Dienstleister übernehmen die Lohnbuchhaltung und Steuerberatung, um Fixkosten niedrig zu halten. Diese Struktur ermöglicht eine schnelle Skalierung bei steigender Nachfrage, ohne die Qualität des Services zu beeinträchtigen.</w:t>
      </w:r>
    </w:p>
    <w:p>
      <w:pPr>
        <w:pStyle w:val="Heading2"/>
      </w:pPr>
      <w:r>
        <w:t>Investitions- und Finanzierungsplan: Tabelle mit Anschaffungskosten für Werkstattausstattung, Lastenräder und digitale Systeme</w:t>
      </w:r>
    </w:p>
    <w:p>
      <w:r>
        <w:t>Die Gründung der Rad &amp; Werk GmbH erfordert initiale Investitionen in technische Infrastruktur, Fahrzeugbestand und digitale Verwaltungssysteme. Der folgende Plan stellt die benötigten Mittel transparent dar, um die Tragfähigkeit des KfW-ERP-Gründerkredits zu untermauern. Die Kostenstruktur orientiert sich an den spezifischen Anforderungen einer gewerblichen Lastenrad-Werkstatt im urbanen Raum Leipzig.</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2689"/>
        <w:gridCol w:w="5154"/>
        <w:gridCol w:w="1569"/>
      </w:tblGrid>
      <w:tr>
        <w:trPr>
          <w:tblHeader w:val="true"/>
          <w:cantSplit/>
        </w:trPr>
        <w:tc>
          <w:tcPr>
            <w:tcW w:type="dxa" w:w="2689"/>
            <w:shd w:val="clear" w:color="auto" w:fill="DFE3E8"/>
          </w:tcPr>
          <w:p>
            <w:pPr>
              <w:spacing w:after="0" w:line="276" w:lineRule="auto"/>
            </w:pPr>
            <w:r>
              <w:rPr>
                <w:b/>
              </w:rPr>
              <w:t>Investitionsposten</w:t>
            </w:r>
          </w:p>
        </w:tc>
        <w:tc>
          <w:tcPr>
            <w:tcW w:type="dxa" w:w="5154"/>
            <w:shd w:val="clear" w:color="auto" w:fill="DFE3E8"/>
          </w:tcPr>
          <w:p>
            <w:pPr>
              <w:spacing w:after="0" w:line="276" w:lineRule="auto"/>
            </w:pPr>
            <w:r>
              <w:rPr>
                <w:b/>
              </w:rPr>
              <w:t>Beschreibung</w:t>
            </w:r>
          </w:p>
        </w:tc>
        <w:tc>
          <w:tcPr>
            <w:tcW w:type="dxa" w:w="1569"/>
            <w:shd w:val="clear" w:color="auto" w:fill="DFE3E8"/>
          </w:tcPr>
          <w:p>
            <w:pPr>
              <w:spacing w:after="0" w:line="276" w:lineRule="auto"/>
            </w:pPr>
            <w:r>
              <w:rPr>
                <w:b/>
              </w:rPr>
              <w:t>Kosten (Euro, netto)</w:t>
            </w:r>
          </w:p>
        </w:tc>
      </w:tr>
      <w:tr>
        <w:tc>
          <w:tcPr>
            <w:tcW w:type="dxa" w:w="2689"/>
          </w:tcPr>
          <w:p>
            <w:pPr>
              <w:spacing w:after="0" w:line="276" w:lineRule="auto"/>
            </w:pPr>
            <w:r>
              <w:t>Werkstattausrüstung</w:t>
            </w:r>
          </w:p>
        </w:tc>
        <w:tc>
          <w:tcPr>
            <w:tcW w:type="dxa" w:w="5154"/>
          </w:tcPr>
          <w:p>
            <w:pPr>
              <w:spacing w:after="0" w:line="276" w:lineRule="auto"/>
            </w:pPr>
            <w:r>
              <w:t>Hebebühnen, Spezialwerkzeug für E-Lastenräder, Diagnosegeräte</w:t>
            </w:r>
          </w:p>
        </w:tc>
        <w:tc>
          <w:tcPr>
            <w:tcW w:type="dxa" w:w="1569"/>
          </w:tcPr>
          <w:p>
            <w:pPr>
              <w:spacing w:after="0" w:line="276" w:lineRule="auto"/>
              <w:jc w:val="right"/>
            </w:pPr>
            <w:r>
              <w:t>25.000</w:t>
            </w:r>
          </w:p>
        </w:tc>
      </w:tr>
      <w:tr>
        <w:tc>
          <w:tcPr>
            <w:tcW w:type="dxa" w:w="2689"/>
          </w:tcPr>
          <w:p>
            <w:pPr>
              <w:spacing w:after="0" w:line="276" w:lineRule="auto"/>
            </w:pPr>
            <w:r>
              <w:t>Fahrzeugflotte</w:t>
            </w:r>
          </w:p>
        </w:tc>
        <w:tc>
          <w:tcPr>
            <w:tcW w:type="dxa" w:w="5154"/>
          </w:tcPr>
          <w:p>
            <w:pPr>
              <w:spacing w:after="0" w:line="276" w:lineRule="auto"/>
            </w:pPr>
            <w:r>
              <w:t>10x Cargo-E-Bikes (inkl. Ersatzakkus und Boxen)</w:t>
            </w:r>
          </w:p>
        </w:tc>
        <w:tc>
          <w:tcPr>
            <w:tcW w:type="dxa" w:w="1569"/>
          </w:tcPr>
          <w:p>
            <w:pPr>
              <w:spacing w:after="0" w:line="276" w:lineRule="auto"/>
              <w:jc w:val="right"/>
            </w:pPr>
            <w:r>
              <w:t>60.000</w:t>
            </w:r>
          </w:p>
        </w:tc>
      </w:tr>
      <w:tr>
        <w:tc>
          <w:tcPr>
            <w:tcW w:type="dxa" w:w="2689"/>
          </w:tcPr>
          <w:p>
            <w:pPr>
              <w:spacing w:after="0" w:line="276" w:lineRule="auto"/>
            </w:pPr>
            <w:r>
              <w:t>IT &amp; Software</w:t>
            </w:r>
          </w:p>
        </w:tc>
        <w:tc>
          <w:tcPr>
            <w:tcW w:type="dxa" w:w="5154"/>
          </w:tcPr>
          <w:p>
            <w:pPr>
              <w:spacing w:after="0" w:line="276" w:lineRule="auto"/>
            </w:pPr>
            <w:r>
              <w:t>Verleihmanagement-Software, Buchhaltungssystem, Hardware</w:t>
            </w:r>
          </w:p>
        </w:tc>
        <w:tc>
          <w:tcPr>
            <w:tcW w:type="dxa" w:w="1569"/>
          </w:tcPr>
          <w:p>
            <w:pPr>
              <w:spacing w:after="0" w:line="276" w:lineRule="auto"/>
              <w:jc w:val="right"/>
            </w:pPr>
            <w:r>
              <w:t>8.000</w:t>
            </w:r>
          </w:p>
        </w:tc>
      </w:tr>
      <w:tr>
        <w:tc>
          <w:tcPr>
            <w:tcW w:type="dxa" w:w="2689"/>
          </w:tcPr>
          <w:p>
            <w:pPr>
              <w:spacing w:after="0" w:line="276" w:lineRule="auto"/>
            </w:pPr>
            <w:r>
              <w:t>Einrichtung &amp; Umbau</w:t>
            </w:r>
          </w:p>
        </w:tc>
        <w:tc>
          <w:tcPr>
            <w:tcW w:type="dxa" w:w="5154"/>
          </w:tcPr>
          <w:p>
            <w:pPr>
              <w:spacing w:after="0" w:line="276" w:lineRule="auto"/>
            </w:pPr>
            <w:r>
              <w:t>Kundenbereich, Lagerregale, Sicherheitsausstattung</w:t>
            </w:r>
          </w:p>
        </w:tc>
        <w:tc>
          <w:tcPr>
            <w:tcW w:type="dxa" w:w="1569"/>
          </w:tcPr>
          <w:p>
            <w:pPr>
              <w:spacing w:after="0" w:line="276" w:lineRule="auto"/>
              <w:jc w:val="right"/>
            </w:pPr>
            <w:r>
              <w:t>12.000</w:t>
            </w:r>
          </w:p>
        </w:tc>
      </w:tr>
      <w:tr>
        <w:tc>
          <w:tcPr>
            <w:tcW w:type="dxa" w:w="2689"/>
          </w:tcPr>
          <w:p>
            <w:pPr>
              <w:spacing w:after="0" w:line="276" w:lineRule="auto"/>
            </w:pPr>
            <w:r>
              <w:t>Marketing &amp; Gründung</w:t>
            </w:r>
          </w:p>
        </w:tc>
        <w:tc>
          <w:tcPr>
            <w:tcW w:type="dxa" w:w="5154"/>
          </w:tcPr>
          <w:p>
            <w:pPr>
              <w:spacing w:after="0" w:line="276" w:lineRule="auto"/>
            </w:pPr>
            <w:r>
              <w:t>Webseite, Branding, Notar, Gewerbeanmeldung</w:t>
            </w:r>
          </w:p>
        </w:tc>
        <w:tc>
          <w:tcPr>
            <w:tcW w:type="dxa" w:w="1569"/>
          </w:tcPr>
          <w:p>
            <w:pPr>
              <w:spacing w:after="0" w:line="276" w:lineRule="auto"/>
              <w:jc w:val="right"/>
            </w:pPr>
            <w:r>
              <w:t>5.000</w:t>
            </w:r>
          </w:p>
        </w:tc>
      </w:tr>
      <w:tr>
        <w:tc>
          <w:tcPr>
            <w:tcW w:type="dxa" w:w="2689"/>
          </w:tcPr>
          <w:p>
            <w:pPr>
              <w:spacing w:after="0" w:line="276" w:lineRule="auto"/>
            </w:pPr>
            <w:r>
              <w:t>Gesamtinvestitionsbedarf</w:t>
            </w:r>
          </w:p>
        </w:tc>
        <w:tc>
          <w:tcPr>
            <w:tcW w:type="dxa" w:w="5154"/>
          </w:tcPr>
          <w:p>
            <w:pPr>
              <w:spacing w:after="0" w:line="276" w:lineRule="auto"/>
            </w:pPr>
            <w:r/>
          </w:p>
        </w:tc>
        <w:tc>
          <w:tcPr>
            <w:tcW w:type="dxa" w:w="1569"/>
          </w:tcPr>
          <w:p>
            <w:pPr>
              <w:spacing w:after="0" w:line="276" w:lineRule="auto"/>
              <w:jc w:val="right"/>
            </w:pPr>
            <w:r>
              <w:t>110.000</w:t>
            </w:r>
          </w:p>
        </w:tc>
      </w:tr>
    </w:tbl>
    <w:p>
      <w:pPr>
        <w:keepNext/>
        <w:jc w:val="center"/>
      </w:pPr>
      <w:r>
        <w:drawing>
          <wp:inline xmlns:a="http://schemas.openxmlformats.org/drawingml/2006/main" xmlns:pic="http://schemas.openxmlformats.org/drawingml/2006/picture">
            <wp:extent cx="5400000" cy="1681714"/>
            <wp:docPr id="1" name="Picture 1"/>
            <wp:cNvGraphicFramePr>
              <a:graphicFrameLocks noChangeAspect="1"/>
            </wp:cNvGraphicFramePr>
            <a:graphic>
              <a:graphicData uri="http://schemas.openxmlformats.org/drawingml/2006/picture">
                <pic:pic>
                  <pic:nvPicPr>
                    <pic:cNvPr id="0" name="chart-1.png"/>
                    <pic:cNvPicPr/>
                  </pic:nvPicPr>
                  <pic:blipFill>
                    <a:blip r:embed="rId11"/>
                    <a:stretch>
                      <a:fillRect/>
                    </a:stretch>
                  </pic:blipFill>
                  <pic:spPr>
                    <a:xfrm>
                      <a:off x="0" y="0"/>
                      <a:ext cx="5400000" cy="1681714"/>
                    </a:xfrm>
                    <a:prstGeom prst="rect"/>
                  </pic:spPr>
                </pic:pic>
              </a:graphicData>
            </a:graphic>
          </wp:inline>
        </w:drawing>
      </w:r>
    </w:p>
    <w:p>
      <w:pPr>
        <w:jc w:val="center"/>
      </w:pPr>
      <w:r>
        <w:rPr>
          <w:i/>
          <w:color w:val="6B7280"/>
          <w:sz w:val="18"/>
        </w:rPr>
        <w:t>Figure 1. Kosten (Euro, netto)</w:t>
      </w:r>
    </w:p>
    <w:p>
      <w:r>
        <w:t>Die Finanzierung des Gesamtbedarfs von 110.000 Euro erfolgt durch eine Kombination aus Eigenkapital und Fremdkapital. Es wird angestrebt, mindestens 20 Prozent des Investitionsvolumens durch Eigenmittel der Gesellschafter abzudecken, um die Bonität gegenüber der KfW Bankengruppe zu stärken. Der verbleibende Betrag soll über den KfW-ERP-Gründerkredit abgedeckt werden. Diese Struktur gewährleistet eine solide Kapitalbasis für die ersten operativen Monate.</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4492"/>
        <w:gridCol w:w="2781"/>
        <w:gridCol w:w="2139"/>
      </w:tblGrid>
      <w:tr>
        <w:trPr>
          <w:tblHeader w:val="true"/>
          <w:cantSplit/>
        </w:trPr>
        <w:tc>
          <w:tcPr>
            <w:tcW w:type="dxa" w:w="4492"/>
            <w:shd w:val="clear" w:color="auto" w:fill="DFE3E8"/>
          </w:tcPr>
          <w:p>
            <w:pPr>
              <w:spacing w:after="0" w:line="276" w:lineRule="auto"/>
            </w:pPr>
            <w:r>
              <w:rPr>
                <w:b/>
              </w:rPr>
              <w:t>Finanzierungsquelle</w:t>
            </w:r>
          </w:p>
        </w:tc>
        <w:tc>
          <w:tcPr>
            <w:tcW w:type="dxa" w:w="2781"/>
            <w:shd w:val="clear" w:color="auto" w:fill="DFE3E8"/>
          </w:tcPr>
          <w:p>
            <w:pPr>
              <w:spacing w:after="0" w:line="276" w:lineRule="auto"/>
            </w:pPr>
            <w:r>
              <w:rPr>
                <w:b/>
              </w:rPr>
              <w:t>Betrag (Euro)</w:t>
            </w:r>
          </w:p>
        </w:tc>
        <w:tc>
          <w:tcPr>
            <w:tcW w:type="dxa" w:w="2139"/>
            <w:shd w:val="clear" w:color="auto" w:fill="DFE3E8"/>
          </w:tcPr>
          <w:p>
            <w:pPr>
              <w:spacing w:after="0" w:line="276" w:lineRule="auto"/>
            </w:pPr>
            <w:r>
              <w:rPr>
                <w:b/>
              </w:rPr>
              <w:t>Anteil (%)</w:t>
            </w:r>
          </w:p>
        </w:tc>
      </w:tr>
      <w:tr>
        <w:tc>
          <w:tcPr>
            <w:tcW w:type="dxa" w:w="4492"/>
          </w:tcPr>
          <w:p>
            <w:pPr>
              <w:spacing w:after="0" w:line="276" w:lineRule="auto"/>
            </w:pPr>
            <w:r>
              <w:t>Eigenkapital Gründer</w:t>
            </w:r>
          </w:p>
        </w:tc>
        <w:tc>
          <w:tcPr>
            <w:tcW w:type="dxa" w:w="2781"/>
          </w:tcPr>
          <w:p>
            <w:pPr>
              <w:spacing w:after="0" w:line="276" w:lineRule="auto"/>
              <w:jc w:val="right"/>
            </w:pPr>
            <w:r>
              <w:t>22.000</w:t>
            </w:r>
          </w:p>
        </w:tc>
        <w:tc>
          <w:tcPr>
            <w:tcW w:type="dxa" w:w="2139"/>
          </w:tcPr>
          <w:p>
            <w:pPr>
              <w:spacing w:after="0" w:line="276" w:lineRule="auto"/>
              <w:jc w:val="right"/>
            </w:pPr>
            <w:r>
              <w:t>20</w:t>
            </w:r>
          </w:p>
        </w:tc>
      </w:tr>
      <w:tr>
        <w:tc>
          <w:tcPr>
            <w:tcW w:type="dxa" w:w="4492"/>
          </w:tcPr>
          <w:p>
            <w:pPr>
              <w:spacing w:after="0" w:line="276" w:lineRule="auto"/>
            </w:pPr>
            <w:r>
              <w:t>KfW-ERP-Gründerkredit</w:t>
            </w:r>
          </w:p>
        </w:tc>
        <w:tc>
          <w:tcPr>
            <w:tcW w:type="dxa" w:w="2781"/>
          </w:tcPr>
          <w:p>
            <w:pPr>
              <w:spacing w:after="0" w:line="276" w:lineRule="auto"/>
              <w:jc w:val="right"/>
            </w:pPr>
            <w:r>
              <w:t>88.000</w:t>
            </w:r>
          </w:p>
        </w:tc>
        <w:tc>
          <w:tcPr>
            <w:tcW w:type="dxa" w:w="2139"/>
          </w:tcPr>
          <w:p>
            <w:pPr>
              <w:spacing w:after="0" w:line="276" w:lineRule="auto"/>
              <w:jc w:val="right"/>
            </w:pPr>
            <w:r>
              <w:t>80</w:t>
            </w:r>
          </w:p>
        </w:tc>
      </w:tr>
      <w:tr>
        <w:tc>
          <w:tcPr>
            <w:tcW w:type="dxa" w:w="4492"/>
          </w:tcPr>
          <w:p>
            <w:pPr>
              <w:spacing w:after="0" w:line="276" w:lineRule="auto"/>
            </w:pPr>
            <w:r>
              <w:t>Gesamtfinanzierung</w:t>
            </w:r>
          </w:p>
        </w:tc>
        <w:tc>
          <w:tcPr>
            <w:tcW w:type="dxa" w:w="2781"/>
          </w:tcPr>
          <w:p>
            <w:pPr>
              <w:spacing w:after="0" w:line="276" w:lineRule="auto"/>
              <w:jc w:val="right"/>
            </w:pPr>
            <w:r>
              <w:t>110.000</w:t>
            </w:r>
          </w:p>
        </w:tc>
        <w:tc>
          <w:tcPr>
            <w:tcW w:type="dxa" w:w="2139"/>
          </w:tcPr>
          <w:p>
            <w:pPr>
              <w:spacing w:after="0" w:line="276" w:lineRule="auto"/>
              <w:jc w:val="right"/>
            </w:pPr>
            <w:r>
              <w:t>100</w:t>
            </w:r>
          </w:p>
        </w:tc>
      </w:tr>
    </w:tbl>
    <w:p>
      <w:pPr>
        <w:keepNext/>
        <w:jc w:val="center"/>
      </w:pPr>
      <w:r>
        <w:drawing>
          <wp:inline xmlns:a="http://schemas.openxmlformats.org/drawingml/2006/main" xmlns:pic="http://schemas.openxmlformats.org/drawingml/2006/picture">
            <wp:extent cx="5400000" cy="1033714"/>
            <wp:docPr id="2" name="Picture 2"/>
            <wp:cNvGraphicFramePr>
              <a:graphicFrameLocks noChangeAspect="1"/>
            </wp:cNvGraphicFramePr>
            <a:graphic>
              <a:graphicData uri="http://schemas.openxmlformats.org/drawingml/2006/picture">
                <pic:pic>
                  <pic:nvPicPr>
                    <pic:cNvPr id="0" name="chart-2.png"/>
                    <pic:cNvPicPr/>
                  </pic:nvPicPr>
                  <pic:blipFill>
                    <a:blip r:embed="rId12"/>
                    <a:stretch>
                      <a:fillRect/>
                    </a:stretch>
                  </pic:blipFill>
                  <pic:spPr>
                    <a:xfrm>
                      <a:off x="0" y="0"/>
                      <a:ext cx="5400000" cy="1033714"/>
                    </a:xfrm>
                    <a:prstGeom prst="rect"/>
                  </pic:spPr>
                </pic:pic>
              </a:graphicData>
            </a:graphic>
          </wp:inline>
        </w:drawing>
      </w:r>
    </w:p>
    <w:p>
      <w:pPr>
        <w:jc w:val="center"/>
      </w:pPr>
      <w:r>
        <w:rPr>
          <w:i/>
          <w:color w:val="6B7280"/>
          <w:sz w:val="18"/>
        </w:rPr>
        <w:t>Figure 2. Anteil (%)</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Hinweis zu den Planwerten.</w:t>
            </w:r>
            <w:r>
              <w:t xml:space="preserve"> </w:t>
            </w:r>
            <w:r>
              <w:t>Die oben genannten figures sind realistische Schätzungen basierend auf aktuellen Marktpreisen für gewerbliche E-Lastenräder und Werkstatttechnik. Bitte bestätigen Sie die aktuellen Listenpreise der ausgewählten Hersteller sowie die Konditionen der KfW-Förderung zum Zeitpunkt der Antragstellung, da sich diese kurzfristig ändern können.</w:t>
            </w:r>
          </w:p>
        </w:tc>
      </w:tr>
    </w:tbl>
    <w:p>
      <w:pPr>
        <w:spacing w:after="40"/>
      </w:pPr>
    </w:p>
    <w:p>
      <w:pPr>
        <w:pStyle w:val="Heading2"/>
      </w:pPr>
      <w:r>
        <w:t>Rentabilitäts- und Liquiditätsplanung: Dreijahres-Prognose mit monatlichem Cashflow für Jahr 1</w:t>
      </w:r>
    </w:p>
    <w:p>
      <w:r>
        <w:t>Die folgende Planung stellt eine konservative Prognose der Gewinn- und Verlustrechnung sowie der Liquiditätsentwicklung für die ersten drei Geschäftsjahre dar. Im ersten Jahr wird ein monatlicher Cashflow ausgewiesen, um Engpässe frühzeitig zu identifizieren. Die Annahmen basieren auf marktüblichen Preisen in Leipzig und einem schrittweisen Aufbau der Kundenbasis. Bitte beachten Sie, dass diese figures Schätzungen sind; bestätigen Sie aktuelle Mietpreise, Energiekosten und Lohnnebenkosten vor der finalen Einreichung bei der KfW.</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3059"/>
        <w:gridCol w:w="2117"/>
        <w:gridCol w:w="2117"/>
        <w:gridCol w:w="2117"/>
      </w:tblGrid>
      <w:tr>
        <w:trPr>
          <w:tblHeader w:val="true"/>
          <w:cantSplit/>
        </w:trPr>
        <w:tc>
          <w:tcPr>
            <w:tcW w:type="dxa" w:w="3059"/>
            <w:shd w:val="clear" w:color="auto" w:fill="DFE3E8"/>
          </w:tcPr>
          <w:p>
            <w:pPr>
              <w:spacing w:after="0" w:line="276" w:lineRule="auto"/>
            </w:pPr>
            <w:r>
              <w:rPr>
                <w:b/>
              </w:rPr>
              <w:t>Position</w:t>
            </w:r>
          </w:p>
        </w:tc>
        <w:tc>
          <w:tcPr>
            <w:tcW w:type="dxa" w:w="2117"/>
            <w:shd w:val="clear" w:color="auto" w:fill="DFE3E8"/>
          </w:tcPr>
          <w:p>
            <w:pPr>
              <w:spacing w:after="0" w:line="276" w:lineRule="auto"/>
            </w:pPr>
            <w:r>
              <w:rPr>
                <w:b/>
              </w:rPr>
              <w:t>Jahr 1 (Schätzung)</w:t>
            </w:r>
          </w:p>
        </w:tc>
        <w:tc>
          <w:tcPr>
            <w:tcW w:type="dxa" w:w="2117"/>
            <w:shd w:val="clear" w:color="auto" w:fill="DFE3E8"/>
          </w:tcPr>
          <w:p>
            <w:pPr>
              <w:spacing w:after="0" w:line="276" w:lineRule="auto"/>
            </w:pPr>
            <w:r>
              <w:rPr>
                <w:b/>
              </w:rPr>
              <w:t>Jahr 2 (Schätzung)</w:t>
            </w:r>
          </w:p>
        </w:tc>
        <w:tc>
          <w:tcPr>
            <w:tcW w:type="dxa" w:w="2117"/>
            <w:shd w:val="clear" w:color="auto" w:fill="DFE3E8"/>
          </w:tcPr>
          <w:p>
            <w:pPr>
              <w:spacing w:after="0" w:line="276" w:lineRule="auto"/>
            </w:pPr>
            <w:r>
              <w:rPr>
                <w:b/>
              </w:rPr>
              <w:t>Jahr 3 (Schätzung)</w:t>
            </w:r>
          </w:p>
        </w:tc>
      </w:tr>
      <w:tr>
        <w:tc>
          <w:tcPr>
            <w:tcW w:type="dxa" w:w="3059"/>
          </w:tcPr>
          <w:p>
            <w:pPr>
              <w:spacing w:after="0" w:line="276" w:lineRule="auto"/>
            </w:pPr>
            <w:r>
              <w:t>Umsatzerlöse</w:t>
            </w:r>
          </w:p>
        </w:tc>
        <w:tc>
          <w:tcPr>
            <w:tcW w:type="dxa" w:w="2117"/>
          </w:tcPr>
          <w:p>
            <w:pPr>
              <w:spacing w:after="0" w:line="276" w:lineRule="auto"/>
            </w:pPr>
            <w:r>
              <w:t>180.000 €</w:t>
            </w:r>
          </w:p>
        </w:tc>
        <w:tc>
          <w:tcPr>
            <w:tcW w:type="dxa" w:w="2117"/>
          </w:tcPr>
          <w:p>
            <w:pPr>
              <w:spacing w:after="0" w:line="276" w:lineRule="auto"/>
            </w:pPr>
            <w:r>
              <w:t>240.000 €</w:t>
            </w:r>
          </w:p>
        </w:tc>
        <w:tc>
          <w:tcPr>
            <w:tcW w:type="dxa" w:w="2117"/>
          </w:tcPr>
          <w:p>
            <w:pPr>
              <w:spacing w:after="0" w:line="276" w:lineRule="auto"/>
            </w:pPr>
            <w:r>
              <w:t>290.000 €</w:t>
            </w:r>
          </w:p>
        </w:tc>
      </w:tr>
      <w:tr>
        <w:tc>
          <w:tcPr>
            <w:tcW w:type="dxa" w:w="3059"/>
          </w:tcPr>
          <w:p>
            <w:pPr>
              <w:spacing w:after="0" w:line="276" w:lineRule="auto"/>
            </w:pPr>
            <w:r>
              <w:t>Materialaufwand</w:t>
            </w:r>
          </w:p>
        </w:tc>
        <w:tc>
          <w:tcPr>
            <w:tcW w:type="dxa" w:w="2117"/>
          </w:tcPr>
          <w:p>
            <w:pPr>
              <w:spacing w:after="0" w:line="276" w:lineRule="auto"/>
            </w:pPr>
            <w:r>
              <w:t>-45.000 €</w:t>
            </w:r>
          </w:p>
        </w:tc>
        <w:tc>
          <w:tcPr>
            <w:tcW w:type="dxa" w:w="2117"/>
          </w:tcPr>
          <w:p>
            <w:pPr>
              <w:spacing w:after="0" w:line="276" w:lineRule="auto"/>
            </w:pPr>
            <w:r>
              <w:t>-60.000 €</w:t>
            </w:r>
          </w:p>
        </w:tc>
        <w:tc>
          <w:tcPr>
            <w:tcW w:type="dxa" w:w="2117"/>
          </w:tcPr>
          <w:p>
            <w:pPr>
              <w:spacing w:after="0" w:line="276" w:lineRule="auto"/>
            </w:pPr>
            <w:r>
              <w:t>-72.500 €</w:t>
            </w:r>
          </w:p>
        </w:tc>
      </w:tr>
      <w:tr>
        <w:tc>
          <w:tcPr>
            <w:tcW w:type="dxa" w:w="3059"/>
          </w:tcPr>
          <w:p>
            <w:pPr>
              <w:spacing w:after="0" w:line="276" w:lineRule="auto"/>
            </w:pPr>
            <w:r>
              <w:t>Personalaufwand</w:t>
            </w:r>
          </w:p>
        </w:tc>
        <w:tc>
          <w:tcPr>
            <w:tcW w:type="dxa" w:w="2117"/>
          </w:tcPr>
          <w:p>
            <w:pPr>
              <w:spacing w:after="0" w:line="276" w:lineRule="auto"/>
            </w:pPr>
            <w:r>
              <w:t>-85.000 €</w:t>
            </w:r>
          </w:p>
        </w:tc>
        <w:tc>
          <w:tcPr>
            <w:tcW w:type="dxa" w:w="2117"/>
          </w:tcPr>
          <w:p>
            <w:pPr>
              <w:spacing w:after="0" w:line="276" w:lineRule="auto"/>
            </w:pPr>
            <w:r>
              <w:t>-95.000 €</w:t>
            </w:r>
          </w:p>
        </w:tc>
        <w:tc>
          <w:tcPr>
            <w:tcW w:type="dxa" w:w="2117"/>
          </w:tcPr>
          <w:p>
            <w:pPr>
              <w:spacing w:after="0" w:line="276" w:lineRule="auto"/>
            </w:pPr>
            <w:r>
              <w:t>-105.000 €</w:t>
            </w:r>
          </w:p>
        </w:tc>
      </w:tr>
      <w:tr>
        <w:tc>
          <w:tcPr>
            <w:tcW w:type="dxa" w:w="3059"/>
          </w:tcPr>
          <w:p>
            <w:pPr>
              <w:spacing w:after="0" w:line="276" w:lineRule="auto"/>
            </w:pPr>
            <w:r>
              <w:t>Miete &amp; Nebenkosten</w:t>
            </w:r>
          </w:p>
        </w:tc>
        <w:tc>
          <w:tcPr>
            <w:tcW w:type="dxa" w:w="2117"/>
          </w:tcPr>
          <w:p>
            <w:pPr>
              <w:spacing w:after="0" w:line="276" w:lineRule="auto"/>
            </w:pPr>
            <w:r>
              <w:t>-24.000 €</w:t>
            </w:r>
          </w:p>
        </w:tc>
        <w:tc>
          <w:tcPr>
            <w:tcW w:type="dxa" w:w="2117"/>
          </w:tcPr>
          <w:p>
            <w:pPr>
              <w:spacing w:after="0" w:line="276" w:lineRule="auto"/>
            </w:pPr>
            <w:r>
              <w:t>-25.200 €</w:t>
            </w:r>
          </w:p>
        </w:tc>
        <w:tc>
          <w:tcPr>
            <w:tcW w:type="dxa" w:w="2117"/>
          </w:tcPr>
          <w:p>
            <w:pPr>
              <w:spacing w:after="0" w:line="276" w:lineRule="auto"/>
            </w:pPr>
            <w:r>
              <w:t>-26.500 €</w:t>
            </w:r>
          </w:p>
        </w:tc>
      </w:tr>
      <w:tr>
        <w:tc>
          <w:tcPr>
            <w:tcW w:type="dxa" w:w="3059"/>
          </w:tcPr>
          <w:p>
            <w:pPr>
              <w:spacing w:after="0" w:line="276" w:lineRule="auto"/>
            </w:pPr>
            <w:r>
              <w:t>Marketing &amp; Verwaltung</w:t>
            </w:r>
          </w:p>
        </w:tc>
        <w:tc>
          <w:tcPr>
            <w:tcW w:type="dxa" w:w="2117"/>
          </w:tcPr>
          <w:p>
            <w:pPr>
              <w:spacing w:after="0" w:line="276" w:lineRule="auto"/>
            </w:pPr>
            <w:r>
              <w:t>-12.000 €</w:t>
            </w:r>
          </w:p>
        </w:tc>
        <w:tc>
          <w:tcPr>
            <w:tcW w:type="dxa" w:w="2117"/>
          </w:tcPr>
          <w:p>
            <w:pPr>
              <w:spacing w:after="0" w:line="276" w:lineRule="auto"/>
            </w:pPr>
            <w:r>
              <w:t>-10.000 €</w:t>
            </w:r>
          </w:p>
        </w:tc>
        <w:tc>
          <w:tcPr>
            <w:tcW w:type="dxa" w:w="2117"/>
          </w:tcPr>
          <w:p>
            <w:pPr>
              <w:spacing w:after="0" w:line="276" w:lineRule="auto"/>
            </w:pPr>
            <w:r>
              <w:t>-10.000 €</w:t>
            </w:r>
          </w:p>
        </w:tc>
      </w:tr>
      <w:tr>
        <w:tc>
          <w:tcPr>
            <w:tcW w:type="dxa" w:w="3059"/>
          </w:tcPr>
          <w:p>
            <w:pPr>
              <w:spacing w:after="0" w:line="276" w:lineRule="auto"/>
            </w:pPr>
            <w:r>
              <w:t>Abschreibungen</w:t>
            </w:r>
          </w:p>
        </w:tc>
        <w:tc>
          <w:tcPr>
            <w:tcW w:type="dxa" w:w="2117"/>
          </w:tcPr>
          <w:p>
            <w:pPr>
              <w:spacing w:after="0" w:line="276" w:lineRule="auto"/>
            </w:pPr>
            <w:r>
              <w:t>-15.000 €</w:t>
            </w:r>
          </w:p>
        </w:tc>
        <w:tc>
          <w:tcPr>
            <w:tcW w:type="dxa" w:w="2117"/>
          </w:tcPr>
          <w:p>
            <w:pPr>
              <w:spacing w:after="0" w:line="276" w:lineRule="auto"/>
            </w:pPr>
            <w:r>
              <w:t>-15.000 €</w:t>
            </w:r>
          </w:p>
        </w:tc>
        <w:tc>
          <w:tcPr>
            <w:tcW w:type="dxa" w:w="2117"/>
          </w:tcPr>
          <w:p>
            <w:pPr>
              <w:spacing w:after="0" w:line="276" w:lineRule="auto"/>
            </w:pPr>
            <w:r>
              <w:t>-15.000 €</w:t>
            </w:r>
          </w:p>
        </w:tc>
      </w:tr>
      <w:tr>
        <w:tc>
          <w:tcPr>
            <w:tcW w:type="dxa" w:w="3059"/>
          </w:tcPr>
          <w:p>
            <w:pPr>
              <w:spacing w:after="0" w:line="276" w:lineRule="auto"/>
            </w:pPr>
            <w:r>
              <w:t>Ergebnis vor Steuern (EBT)</w:t>
            </w:r>
          </w:p>
        </w:tc>
        <w:tc>
          <w:tcPr>
            <w:tcW w:type="dxa" w:w="2117"/>
          </w:tcPr>
          <w:p>
            <w:pPr>
              <w:spacing w:after="0" w:line="276" w:lineRule="auto"/>
            </w:pPr>
            <w:r>
              <w:t>-1.000 €</w:t>
            </w:r>
          </w:p>
        </w:tc>
        <w:tc>
          <w:tcPr>
            <w:tcW w:type="dxa" w:w="2117"/>
          </w:tcPr>
          <w:p>
            <w:pPr>
              <w:spacing w:after="0" w:line="276" w:lineRule="auto"/>
            </w:pPr>
            <w:r>
              <w:t>34.800 €</w:t>
            </w:r>
          </w:p>
        </w:tc>
        <w:tc>
          <w:tcPr>
            <w:tcW w:type="dxa" w:w="2117"/>
          </w:tcPr>
          <w:p>
            <w:pPr>
              <w:spacing w:after="0" w:line="276" w:lineRule="auto"/>
            </w:pPr>
            <w:r>
              <w:t>61.000 €</w:t>
            </w:r>
          </w:p>
        </w:tc>
      </w:tr>
    </w:tbl>
    <w:p>
      <w:pPr>
        <w:spacing w:after="0"/>
      </w:pPr>
    </w:p>
    <w:p>
      <w:r>
        <w:t>Im ersten Jahr ist mit einem negativen operativen Ergebnis von ca. 1.000 € zu rechnen, da Anlaufkosten und Marketinginvestitionen hoch sind. Die Liquidität wird durch den KfW-ERP-Gründerkredit und Eigenkapital gesichert. Ab dem zweiten Jahr wird eine positive Rentabilität erwartet, getrieben durch steigende Auslastung im Verleihgeschäft und wiederkehrende Wartungsverträge. Der monatliche Cashflow im Jahr 1 zeigt saisonale Schwankungen: In den Wintermonaten (Nov-Feb) ist der Umsatz aus dem Verleih geringer, während das Werkstattgeschäft stabil bleibt. Ein Liquiditätspuffer von mindestens 15.000 € wird empfohlen.</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Sensitivitätsanalyse.</w:t>
            </w:r>
            <w:r>
              <w:t xml:space="preserve"> </w:t>
            </w:r>
            <w:r>
              <w:t>Bei einer Umsatzabweichung von -15 % im Jahr 1 entsteht ein Liquiditätsengpass von ca. 8.000 €. Gegenmaßnahme: Reduktion der variablen Marketingausgaben und Verzögerung nicht-kritischer Investitionen. Bei +15 % Umsatz steigt das EBT auf ca. 12.000 €. Diese Szenarien unterstreichen die Notwendigkeit eines flexiblen Kostenmanagements.</w:t>
            </w:r>
          </w:p>
        </w:tc>
      </w:tr>
    </w:tbl>
    <w:p>
      <w:pPr>
        <w:spacing w:after="40"/>
      </w:pPr>
    </w:p>
    <w:tbl>
      <w:tblPr>
        <w:tblW w:type="auto" w:w="0"/>
        <w:tblLook w:firstColumn="1" w:firstRow="1" w:lastColumn="0" w:lastRow="0" w:noHBand="0" w:noVBand="1" w:val="04A0"/>
      </w:tblPr>
      <w:tblGrid>
        <w:gridCol w:w="3249"/>
        <w:gridCol w:w="3249"/>
        <w:gridCol w:w="3249"/>
      </w:tblGrid>
      <w:tr>
        <w:tc>
          <w:tcPr>
            <w:tcW w:type="dxa" w:w="3249"/>
            <w:shd w:val="clear" w:color="auto" w:fill="EFF1F3"/>
            <w:tcBorders>
              <w:top w:val="single" w:sz="18" w:color="1F3A5F"/>
              <w:left w:val="nil"/>
              <w:bottom w:val="nil"/>
              <w:right w:val="nil"/>
            </w:tcBorders>
          </w:tcPr>
          <w:p>
            <w:pPr>
              <w:spacing w:after="0"/>
            </w:pPr>
            <w:r>
              <w:rPr>
                <w:b/>
                <w:color w:val="1F3A5F"/>
                <w:sz w:val="36"/>
              </w:rPr>
              <w:t>Monat 14</w:t>
            </w:r>
          </w:p>
          <w:p>
            <w:r>
              <w:rPr>
                <w:b/>
                <w:sz w:val="19"/>
              </w:rPr>
              <w:t>Break-Even-Punkt</w:t>
            </w:r>
          </w:p>
          <w:p>
            <w:r>
              <w:rPr>
                <w:color w:val="6B7280"/>
                <w:sz w:val="17"/>
              </w:rPr>
              <w:t>Geschätzt bei konstantem Wachstum</w:t>
            </w:r>
          </w:p>
        </w:tc>
        <w:tc>
          <w:tcPr>
            <w:tcW w:type="dxa" w:w="3249"/>
            <w:shd w:val="clear" w:color="auto" w:fill="EFF1F3"/>
            <w:tcBorders>
              <w:top w:val="single" w:sz="18" w:color="1F3A5F"/>
              <w:left w:val="nil"/>
              <w:bottom w:val="nil"/>
              <w:right w:val="nil"/>
            </w:tcBorders>
          </w:tcPr>
          <w:p>
            <w:pPr>
              <w:spacing w:after="0"/>
            </w:pPr>
            <w:r>
              <w:rPr>
                <w:b/>
                <w:color w:val="1F3A5F"/>
                <w:sz w:val="36"/>
              </w:rPr>
              <w:t>20.000 €</w:t>
            </w:r>
          </w:p>
          <w:p>
            <w:r>
              <w:rPr>
                <w:b/>
                <w:sz w:val="19"/>
              </w:rPr>
              <w:t>Liquiditätsreserve</w:t>
            </w:r>
          </w:p>
          <w:p>
            <w:r>
              <w:rPr>
                <w:color w:val="6B7280"/>
                <w:sz w:val="17"/>
              </w:rPr>
              <w:t>Empfohlener Mindestbestand</w:t>
            </w:r>
          </w:p>
        </w:tc>
        <w:tc>
          <w:tcPr>
            <w:tcW w:type="dxa" w:w="3249"/>
            <w:shd w:val="clear" w:color="auto" w:fill="EFF1F3"/>
            <w:tcBorders>
              <w:top w:val="single" w:sz="18" w:color="1F3A5F"/>
              <w:left w:val="nil"/>
              <w:bottom w:val="nil"/>
              <w:right w:val="nil"/>
            </w:tcBorders>
          </w:tcPr>
          <w:p>
            <w:pPr>
              <w:spacing w:after="0"/>
            </w:pPr>
            <w:r>
              <w:rPr>
                <w:b/>
                <w:color w:val="1F3A5F"/>
                <w:sz w:val="36"/>
              </w:rPr>
              <w:t>18 %</w:t>
            </w:r>
          </w:p>
          <w:p>
            <w:r>
              <w:rPr>
                <w:b/>
                <w:sz w:val="19"/>
              </w:rPr>
              <w:t>ROI Jahr 3</w:t>
            </w:r>
          </w:p>
          <w:p>
            <w:r>
              <w:rPr>
                <w:color w:val="6B7280"/>
                <w:sz w:val="17"/>
              </w:rPr>
              <w:t>Return on Investment</w:t>
            </w:r>
          </w:p>
        </w:tc>
      </w:tr>
    </w:tbl>
    <w:p>
      <w:pPr>
        <w:spacing w:after="40"/>
      </w:pPr>
    </w:p>
    <w:p>
      <w:pPr>
        <w:pStyle w:val="Heading2"/>
      </w:pPr>
      <w:r>
        <w:t>Chancen und Risiken: Strategische Hebel durch städtische Förderprogramme und konkrete Risikosteuerungsmaßnahmen</w:t>
      </w:r>
    </w:p>
    <w:p>
      <w:r>
        <w:t>Die Rad &amp; Werk GmbH positioniert sich in einem dynamischen Marktumfeld, das durch den städtischen Wandel hin zur nachhaltigen Mobilität geprägt ist. Die Analyse der externen Faktoren zeigt signifikante Chancen, die durch gezielte Maßnahmen gehoben werden können, sowie operative Risiken, die einer proaktiven Steuerung bedürfen.</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Hinweis zu Fördermitteln.</w:t>
            </w:r>
            <w:r>
              <w:t xml:space="preserve"> </w:t>
            </w:r>
            <w:r>
              <w:t>Alle genannten Fördersummen sind indikative Schätzungen basierend auf aktuellen Programmen. Konkrete Zusagebeträge sind vor Antragstellung bei der zuständigen Stelle zu bestätigen.</w:t>
            </w:r>
          </w:p>
        </w:tc>
      </w:tr>
    </w:tbl>
    <w:p>
      <w:pPr>
        <w:spacing w:after="40"/>
      </w:pPr>
    </w:p>
    <w:p>
      <w:pPr>
        <w:pStyle w:val="Heading3"/>
      </w:pPr>
      <w:r>
        <w:t>Strategische Chancen und Markthebel</w:t>
      </w:r>
    </w:p>
    <w:p>
      <w:r>
        <w:t>Ein zentraler Hebel liegt in der Nutzung kommunaler und europäischer Förderprogramme für nachhaltige Logistik. Leipzig verfolgt ambitionierte Ziele im Stadtentwicklungsplan Mobilität, was die Wahrscheinlichkeit erhöht, dass Projekte zur Lastenrad-Nutzung im gewerblichen Bereich bezuschusst werden. Die Rad &amp; Werk GmbH kann als Dienstleister für lokale Händler auftreten, die ihre Last-Mile-Logistik umstellen wollen.</w:t>
      </w:r>
    </w:p>
    <w:p>
      <w:r>
        <w:t>Zudem besteht die Chance, durch Kooperationen mit Quartiersmanagements und Handwerkskammern frühzeitig Zugang zu einer wachsenden Zielgruppe von umweltbewussten Handwerkern und Dienstleistern zu erhalten. Diese B2B-Kunden suchen nach zuverlässigen Wartungspartnern, die Ausfallzeiten minimieren. Eine Zertifizierung als Fachbetrieb für E-Lastenräder könnte hier ein weiteres Differenzierungsmerkmal darstellen.</w:t>
      </w:r>
    </w:p>
    <w:p>
      <w:pPr>
        <w:pStyle w:val="Heading3"/>
      </w:pPr>
      <w:r>
        <w:t>Identifizierte Risiken und Steuerungsmaßnahmen</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3112"/>
        <w:gridCol w:w="2890"/>
        <w:gridCol w:w="3409"/>
      </w:tblGrid>
      <w:tr>
        <w:trPr>
          <w:tblHeader w:val="true"/>
          <w:cantSplit/>
        </w:trPr>
        <w:tc>
          <w:tcPr>
            <w:tcW w:type="dxa" w:w="3112"/>
            <w:shd w:val="clear" w:color="auto" w:fill="DFE3E8"/>
          </w:tcPr>
          <w:p>
            <w:pPr>
              <w:spacing w:after="0" w:line="276" w:lineRule="auto"/>
            </w:pPr>
            <w:r>
              <w:rPr>
                <w:b/>
              </w:rPr>
              <w:t>Risiko</w:t>
            </w:r>
          </w:p>
        </w:tc>
        <w:tc>
          <w:tcPr>
            <w:tcW w:type="dxa" w:w="2890"/>
            <w:shd w:val="clear" w:color="auto" w:fill="DFE3E8"/>
          </w:tcPr>
          <w:p>
            <w:pPr>
              <w:spacing w:after="0" w:line="276" w:lineRule="auto"/>
            </w:pPr>
            <w:r>
              <w:rPr>
                <w:b/>
              </w:rPr>
              <w:t>Auswirkung</w:t>
            </w:r>
          </w:p>
        </w:tc>
        <w:tc>
          <w:tcPr>
            <w:tcW w:type="dxa" w:w="3409"/>
            <w:shd w:val="clear" w:color="auto" w:fill="DFE3E8"/>
          </w:tcPr>
          <w:p>
            <w:pPr>
              <w:spacing w:after="0" w:line="276" w:lineRule="auto"/>
            </w:pPr>
            <w:r>
              <w:rPr>
                <w:b/>
              </w:rPr>
              <w:t>Steuerungsmaßnahme</w:t>
            </w:r>
          </w:p>
        </w:tc>
      </w:tr>
      <w:tr>
        <w:tc>
          <w:tcPr>
            <w:tcW w:type="dxa" w:w="3112"/>
          </w:tcPr>
          <w:p>
            <w:pPr>
              <w:spacing w:after="0" w:line="276" w:lineRule="auto"/>
            </w:pPr>
            <w:r>
              <w:t>Saisonale Nachfrageschwankungen</w:t>
            </w:r>
          </w:p>
        </w:tc>
        <w:tc>
          <w:tcPr>
            <w:tcW w:type="dxa" w:w="2890"/>
          </w:tcPr>
          <w:p>
            <w:pPr>
              <w:spacing w:after="0" w:line="276" w:lineRule="auto"/>
            </w:pPr>
            <w:r>
              <w:t>Umsatzrückgang im Winterhalbjahr</w:t>
            </w:r>
          </w:p>
        </w:tc>
        <w:tc>
          <w:tcPr>
            <w:tcW w:type="dxa" w:w="3409"/>
          </w:tcPr>
          <w:p>
            <w:pPr>
              <w:spacing w:after="0" w:line="276" w:lineRule="auto"/>
            </w:pPr>
            <w:r>
              <w:t>Etablierung von Wartungs-Abonnements und Indoor-Schulungen für Flottenbetreiber</w:t>
            </w:r>
          </w:p>
        </w:tc>
      </w:tr>
      <w:tr>
        <w:tc>
          <w:tcPr>
            <w:tcW w:type="dxa" w:w="3112"/>
          </w:tcPr>
          <w:p>
            <w:pPr>
              <w:spacing w:after="0" w:line="276" w:lineRule="auto"/>
            </w:pPr>
            <w:r>
              <w:t>Lieferkettenverzögerungen bei Ersatzteilen</w:t>
            </w:r>
          </w:p>
        </w:tc>
        <w:tc>
          <w:tcPr>
            <w:tcW w:type="dxa" w:w="2890"/>
          </w:tcPr>
          <w:p>
            <w:pPr>
              <w:spacing w:after="0" w:line="276" w:lineRule="auto"/>
            </w:pPr>
            <w:r>
              <w:t>Längere Standzeiten der Kundenfahrzeuge</w:t>
            </w:r>
          </w:p>
        </w:tc>
        <w:tc>
          <w:tcPr>
            <w:tcW w:type="dxa" w:w="3409"/>
          </w:tcPr>
          <w:p>
            <w:pPr>
              <w:spacing w:after="0" w:line="276" w:lineRule="auto"/>
            </w:pPr>
            <w:r>
              <w:t>Aufbau eines strategischen Ersatzteilpuffers für gängige Modelle und Diversifizierung der Lieferanten</w:t>
            </w:r>
          </w:p>
        </w:tc>
      </w:tr>
      <w:tr>
        <w:tc>
          <w:tcPr>
            <w:tcW w:type="dxa" w:w="3112"/>
          </w:tcPr>
          <w:p>
            <w:pPr>
              <w:spacing w:after="0" w:line="276" w:lineRule="auto"/>
            </w:pPr>
            <w:r>
              <w:t>Technologischer Wandel der Antriebe</w:t>
            </w:r>
          </w:p>
        </w:tc>
        <w:tc>
          <w:tcPr>
            <w:tcW w:type="dxa" w:w="2890"/>
          </w:tcPr>
          <w:p>
            <w:pPr>
              <w:spacing w:after="0" w:line="276" w:lineRule="auto"/>
            </w:pPr>
            <w:r>
              <w:t>Obsoleszenz des Werkstattwissens</w:t>
            </w:r>
          </w:p>
        </w:tc>
        <w:tc>
          <w:tcPr>
            <w:tcW w:type="dxa" w:w="3409"/>
          </w:tcPr>
          <w:p>
            <w:pPr>
              <w:spacing w:after="0" w:line="276" w:lineRule="auto"/>
            </w:pPr>
            <w:r>
              <w:t>Regelmäßige Fortbildungen der Mechaniker und Partnerschaften mit Herstellern für Schulungen</w:t>
            </w:r>
          </w:p>
        </w:tc>
      </w:tr>
    </w:tbl>
    <w:p>
      <w:pPr>
        <w:spacing w:after="0"/>
      </w:pPr>
    </w:p>
    <w:p>
      <w:r>
        <w:t>Durch die Kombination aus diversifizierten Einnahmequellen (Verleih, Werkstatt, Beratung) und der aktiven Akquise von Wartungsverträgen wird die Abhängigkeit von saisonalen Effekten reduziert. Die finanzielle Planung berücksichtigt konservative Umsatzannahmen, um Liquiditätsengpässe auch in schwächeren Quartalen abzufedern.</w:t>
      </w:r>
    </w:p>
    <w:sectPr w:rsidR="00FC693F" w:rsidRPr="0006063C" w:rsidSect="00034616">
      <w:headerReference w:type="default" r:id="rId9"/>
      <w:footerReference w:type="default" r:id="rId10"/>
      <w:pgSz w:w="12240" w:h="15840"/>
      <w:pgMar w:top="1417" w:right="1247" w:bottom="1247"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7"/>
      </w:rPr>
      <w:t xml:space="preserve">Page </w:t>
    </w:r>
    <w:r>
      <w:rPr>
        <w:color w:val="6B7280"/>
        <w:sz w:val="17"/>
      </w:rPr>
      <w:fldChar w:fldCharType="begin"/>
      <w:instrText xml:space="preserve"> PAGE </w:instrText>
      <w:fldChar w:fldCharType="separate"/>
      <w:t>1</w:t>
      <w:fldChar w:fldCharType="end"/>
    </w:r>
    <w:r>
      <w:rPr>
        <w:color w:val="6B7280"/>
        <w:sz w:val="17"/>
      </w:rPr>
      <w:t xml:space="preserve"> of </w:t>
    </w:r>
    <w:r>
      <w:rPr>
        <w:color w:val="6B7280"/>
        <w:sz w:val="17"/>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B7280"/>
        <w:sz w:val="17"/>
      </w:rPr>
      <w:t>Businessplan Rad &amp; Werk GmbH - Lastenrad-Werkstatt und Verleih Leipzig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60"/>
    </w:pPr>
    <w:rPr>
      <w:rFonts w:ascii="Calibri" w:hAnsi="Calibri" w:eastAsia="Calibri" w:cs="Calibri"/>
      <w:color w:val="1F232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line="252" w:lineRule="auto"/>
      <w:outlineLvl w:val="0"/>
    </w:pPr>
    <w:rPr>
      <w:rFonts w:ascii="Cambria" w:hAnsi="Cambria" w:eastAsia="Cambria" w:cs="Cambria"/>
      <w:b/>
      <w:bCs/>
      <w:i w:val="0"/>
      <w:color w:val="1F3A5F"/>
      <w:sz w:val="36"/>
      <w:szCs w:val="28"/>
    </w:rPr>
  </w:style>
  <w:style w:type="paragraph" w:styleId="Heading2">
    <w:name w:val="heading 2"/>
    <w:basedOn w:val="Normal"/>
    <w:next w:val="Normal"/>
    <w:link w:val="Heading2Char"/>
    <w:uiPriority w:val="9"/>
    <w:unhideWhenUsed/>
    <w:qFormat/>
    <w:rsid w:val="00FC693F"/>
    <w:pPr>
      <w:keepNext/>
      <w:keepLines/>
      <w:spacing w:before="360" w:after="120" w:line="252" w:lineRule="auto"/>
      <w:outlineLvl w:val="1"/>
    </w:pPr>
    <w:rPr>
      <w:rFonts w:ascii="Cambria" w:hAnsi="Cambria" w:eastAsia="Cambria" w:cs="Cambria"/>
      <w:b/>
      <w:bCs/>
      <w:i w:val="0"/>
      <w:color w:val="1F3A5F"/>
      <w:sz w:val="32"/>
      <w:szCs w:val="26"/>
    </w:rPr>
  </w:style>
  <w:style w:type="paragraph" w:styleId="Heading3">
    <w:name w:val="heading 3"/>
    <w:basedOn w:val="Normal"/>
    <w:next w:val="Normal"/>
    <w:link w:val="Heading3Char"/>
    <w:uiPriority w:val="9"/>
    <w:unhideWhenUsed/>
    <w:qFormat/>
    <w:rsid w:val="00FC693F"/>
    <w:pPr>
      <w:keepNext/>
      <w:keepLines/>
      <w:spacing w:before="240" w:after="80" w:line="252" w:lineRule="auto"/>
      <w:outlineLvl w:val="2"/>
    </w:pPr>
    <w:rPr>
      <w:rFonts w:ascii="Cambria" w:hAnsi="Cambria" w:eastAsia="Cambria" w:cs="Cambria"/>
      <w:b/>
      <w:bCs/>
      <w:i w:val="0"/>
      <w:color w:val="1F3A5F"/>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52" w:lineRule="auto" w:before="0"/>
      <w:contextualSpacing/>
    </w:pPr>
    <w:rPr>
      <w:rFonts w:ascii="Cambria" w:hAnsi="Cambria" w:eastAsia="Cambria" w:cs="Cambria"/>
      <w:b w:val="0"/>
      <w:i w:val="0"/>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